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hd w:val="clear" w:color="auto" w:fill="FFFFFF"/>
        <w:spacing w:before="0" w:beforeAutospacing="0" w:after="0" w:afterAutospacing="0" w:line="560" w:lineRule="exact"/>
        <w:ind w:firstLine="1320" w:firstLineChars="300"/>
        <w:jc w:val="both"/>
        <w:outlineLvl w:val="0"/>
        <w:rPr>
          <w:rFonts w:hint="eastAsia" w:ascii="方正小标宋_GBK" w:eastAsia="方正小标宋_GBK"/>
          <w:sz w:val="44"/>
          <w:szCs w:val="44"/>
          <w:lang w:eastAsia="zh-CN"/>
        </w:rPr>
      </w:pPr>
      <w:r>
        <w:rPr>
          <w:rFonts w:hint="eastAsia" w:ascii="方正小标宋_GBK" w:eastAsia="方正小标宋_GBK"/>
          <w:sz w:val="44"/>
          <w:szCs w:val="44"/>
          <w:lang w:eastAsia="zh-CN"/>
        </w:rPr>
        <w:t>重庆市南岸区精神卫生中心</w:t>
      </w:r>
    </w:p>
    <w:p>
      <w:pPr>
        <w:pStyle w:val="5"/>
        <w:shd w:val="clear" w:color="auto" w:fill="FFFFFF"/>
        <w:spacing w:before="0" w:beforeAutospacing="0" w:after="0" w:afterAutospacing="0" w:line="560" w:lineRule="exact"/>
        <w:ind w:firstLine="1320" w:firstLineChars="300"/>
        <w:jc w:val="both"/>
        <w:outlineLvl w:val="0"/>
        <w:rPr>
          <w:rFonts w:ascii="方正小标宋_GBK" w:eastAsia="方正小标宋_GBK"/>
          <w:sz w:val="44"/>
          <w:szCs w:val="44"/>
        </w:rPr>
      </w:pPr>
      <w:r>
        <w:rPr>
          <w:rFonts w:hint="eastAsia" w:ascii="方正小标宋_GBK" w:eastAsia="方正小标宋_GBK"/>
          <w:sz w:val="44"/>
          <w:szCs w:val="44"/>
        </w:rPr>
        <w:t>2020年度部门决算情况说明</w:t>
      </w:r>
    </w:p>
    <w:p>
      <w:pPr>
        <w:pStyle w:val="5"/>
        <w:shd w:val="clear" w:color="auto" w:fill="FFFFFF"/>
        <w:spacing w:before="0" w:beforeAutospacing="0" w:after="0" w:afterAutospacing="0" w:line="560" w:lineRule="exact"/>
        <w:ind w:firstLine="880" w:firstLineChars="200"/>
        <w:jc w:val="both"/>
        <w:rPr>
          <w:rFonts w:ascii="方正小标宋_GBK" w:eastAsia="方正小标宋_GBK"/>
          <w:sz w:val="44"/>
          <w:szCs w:val="44"/>
        </w:rPr>
      </w:pPr>
    </w:p>
    <w:p>
      <w:pPr>
        <w:pStyle w:val="5"/>
        <w:shd w:val="clear" w:color="auto" w:fill="FFFFFF"/>
        <w:spacing w:before="0" w:beforeAutospacing="0" w:after="0" w:afterAutospacing="0" w:line="560" w:lineRule="exact"/>
        <w:ind w:firstLine="640" w:firstLineChars="200"/>
        <w:jc w:val="both"/>
        <w:outlineLvl w:val="0"/>
        <w:rPr>
          <w:rStyle w:val="8"/>
          <w:rFonts w:hint="eastAsia" w:ascii="方正仿宋_GBK" w:hAnsi="方正仿宋_GBK" w:eastAsia="方正仿宋_GBK" w:cs="方正仿宋_GBK"/>
          <w:b w:val="0"/>
          <w:sz w:val="32"/>
          <w:szCs w:val="32"/>
        </w:rPr>
      </w:pPr>
      <w:r>
        <w:rPr>
          <w:rStyle w:val="8"/>
          <w:rFonts w:hint="eastAsia" w:ascii="方正仿宋_GBK" w:hAnsi="方正仿宋_GBK" w:eastAsia="方正仿宋_GBK" w:cs="方正仿宋_GBK"/>
          <w:b w:val="0"/>
          <w:sz w:val="32"/>
          <w:szCs w:val="32"/>
        </w:rPr>
        <w:t>一、部门基本情况</w:t>
      </w:r>
    </w:p>
    <w:p>
      <w:pPr>
        <w:pStyle w:val="5"/>
        <w:shd w:val="clear" w:color="auto" w:fill="FFFFFF"/>
        <w:spacing w:before="0" w:beforeAutospacing="0" w:after="0" w:afterAutospacing="0" w:line="560" w:lineRule="exact"/>
        <w:ind w:firstLine="643" w:firstLineChars="200"/>
        <w:jc w:val="both"/>
        <w:outlineLvl w:val="1"/>
        <w:rPr>
          <w:rFonts w:hint="eastAsia" w:ascii="方正仿宋_GBK" w:hAnsi="方正仿宋_GBK" w:eastAsia="方正仿宋_GBK" w:cs="方正仿宋_GBK"/>
          <w:color w:val="FF0000"/>
          <w:sz w:val="32"/>
          <w:szCs w:val="32"/>
        </w:rPr>
      </w:pPr>
      <w:r>
        <w:rPr>
          <w:rFonts w:hint="eastAsia" w:ascii="方正仿宋_GBK" w:hAnsi="方正仿宋_GBK" w:eastAsia="方正仿宋_GBK" w:cs="方正仿宋_GBK"/>
          <w:b/>
          <w:sz w:val="32"/>
          <w:szCs w:val="32"/>
        </w:rPr>
        <w:t>（一）职能职责。</w:t>
      </w:r>
      <w:r>
        <w:rPr>
          <w:rFonts w:hint="eastAsia" w:ascii="方正仿宋_GBK" w:hAnsi="方正仿宋_GBK" w:eastAsia="方正仿宋_GBK" w:cs="方正仿宋_GBK"/>
          <w:sz w:val="32"/>
          <w:szCs w:val="32"/>
        </w:rPr>
        <w:t>我中心核定编制42名，实有在职在编人员39名；现实有工作人员总数91名。南岸区精神卫生中心的职责为：为全区精神卫生管理提供服务。负责全区精神疾病预防、治疗、康复、咨询、科研和心理卫生知识普及工作；负责全区严重精神障碍患者规范管理及精神病人社区康复业务指导。</w:t>
      </w:r>
    </w:p>
    <w:p>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方正仿宋_GBK" w:hAnsi="方正仿宋_GBK" w:eastAsia="方正仿宋_GBK" w:cs="方正仿宋_GBK"/>
          <w:b/>
          <w:sz w:val="32"/>
          <w:szCs w:val="32"/>
        </w:rPr>
      </w:pPr>
      <w:r>
        <w:rPr>
          <w:rFonts w:hint="eastAsia" w:ascii="方正仿宋_GBK" w:hAnsi="方正仿宋_GBK" w:eastAsia="方正仿宋_GBK" w:cs="方正仿宋_GBK"/>
          <w:b/>
          <w:sz w:val="32"/>
          <w:szCs w:val="32"/>
        </w:rPr>
        <w:t>（二）机构设置。</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1、行政后勤：院领导班子成员4人；群团办公室：承担中心工会、团支部、妇委会等工作，由工会主席负责；党办：承担中心党支部日常工作；行政办公室：承担中心行政管理日常工作，负责人事、车辆管理等工作；财务科：承担中心财务管理、资产管理、收费等工作；总务科：承担中心总务、采购、基建、伙食团、安保、清洁等工作。</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2、医疗职能科室：医务科承担中心医务、科教等工作；护理部：承担中心护理管理、院感等工作；医保信息科：承担中心医保、机房、信息、网络、公众号等工作；药械科：承担中心药品管理、药品及医疗器械采购等工作。</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3、项目管理及社会心理服务心门诊：项目办承担全区重精管理工作；社心办：承担全区社会心理服务工作。</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4、临床及医技科室：医技科：承担中心DR、B超、CT、临床检验等工作；女病区：承担中心女精神障碍患者治疗及管理工作；男一病区：承担中心男精神障碍患者治疗及管理工作；男二病区及门诊部：承担中心男精神障碍患者治疗及管理工作，门诊部管理，电休克治疗管理，评残管理等工作。</w:t>
      </w:r>
    </w:p>
    <w:p>
      <w:pPr>
        <w:pStyle w:val="5"/>
        <w:shd w:val="clear" w:color="auto" w:fill="FFFFFF"/>
        <w:spacing w:before="0" w:beforeAutospacing="0" w:after="0" w:afterAutospacing="0" w:line="560" w:lineRule="exact"/>
        <w:ind w:firstLine="643" w:firstLineChars="200"/>
        <w:jc w:val="both"/>
        <w:outlineLvl w:val="1"/>
        <w:rPr>
          <w:rFonts w:hint="eastAsia" w:ascii="方正仿宋_GBK" w:hAnsi="方正仿宋_GBK" w:eastAsia="方正仿宋_GBK" w:cs="方正仿宋_GBK"/>
          <w:color w:val="FF0000"/>
          <w:sz w:val="32"/>
          <w:szCs w:val="32"/>
        </w:rPr>
      </w:pPr>
      <w:r>
        <w:rPr>
          <w:rFonts w:hint="eastAsia" w:ascii="方正仿宋_GBK" w:hAnsi="方正仿宋_GBK" w:eastAsia="方正仿宋_GBK" w:cs="方正仿宋_GBK"/>
          <w:b/>
          <w:sz w:val="32"/>
          <w:szCs w:val="32"/>
        </w:rPr>
        <w:t>（三）单位构成。</w:t>
      </w:r>
      <w:r>
        <w:rPr>
          <w:rFonts w:hint="eastAsia" w:ascii="方正仿宋_GBK" w:hAnsi="方正仿宋_GBK" w:eastAsia="方正仿宋_GBK" w:cs="方正仿宋_GBK"/>
          <w:b/>
          <w:sz w:val="32"/>
          <w:szCs w:val="32"/>
          <w:lang w:eastAsia="zh-CN"/>
        </w:rPr>
        <w:t>本单位无下级预算单位</w:t>
      </w:r>
      <w:r>
        <w:rPr>
          <w:rFonts w:hint="eastAsia" w:ascii="方正仿宋_GBK" w:hAnsi="方正仿宋_GBK" w:eastAsia="方正仿宋_GBK" w:cs="方正仿宋_GBK"/>
          <w:sz w:val="32"/>
          <w:szCs w:val="32"/>
        </w:rPr>
        <w:t>。</w:t>
      </w:r>
    </w:p>
    <w:p>
      <w:pPr>
        <w:pStyle w:val="5"/>
        <w:shd w:val="clear" w:color="auto" w:fill="FFFFFF"/>
        <w:spacing w:before="0" w:beforeAutospacing="0" w:after="0" w:afterAutospacing="0" w:line="560" w:lineRule="exact"/>
        <w:ind w:firstLine="640" w:firstLineChars="200"/>
        <w:jc w:val="both"/>
        <w:outlineLvl w:val="0"/>
        <w:rPr>
          <w:rStyle w:val="8"/>
          <w:rFonts w:hint="eastAsia" w:ascii="方正仿宋_GBK" w:hAnsi="方正仿宋_GBK" w:eastAsia="方正仿宋_GBK" w:cs="方正仿宋_GBK"/>
          <w:b w:val="0"/>
        </w:rPr>
      </w:pPr>
      <w:r>
        <w:rPr>
          <w:rStyle w:val="8"/>
          <w:rFonts w:hint="eastAsia" w:ascii="方正仿宋_GBK" w:hAnsi="方正仿宋_GBK" w:eastAsia="方正仿宋_GBK" w:cs="方正仿宋_GBK"/>
          <w:b w:val="0"/>
          <w:sz w:val="32"/>
          <w:szCs w:val="32"/>
        </w:rPr>
        <w:t>二、部门决算情况说明</w:t>
      </w:r>
    </w:p>
    <w:p>
      <w:pPr>
        <w:pStyle w:val="5"/>
        <w:shd w:val="clear" w:color="auto" w:fill="FFFFFF"/>
        <w:spacing w:before="0" w:beforeAutospacing="0" w:after="0" w:afterAutospacing="0" w:line="560" w:lineRule="exact"/>
        <w:ind w:firstLine="643" w:firstLineChars="200"/>
        <w:jc w:val="both"/>
        <w:outlineLvl w:val="0"/>
        <w:rPr>
          <w:rFonts w:hint="eastAsia" w:ascii="方正仿宋_GBK" w:hAnsi="方正仿宋_GBK" w:eastAsia="方正仿宋_GBK" w:cs="方正仿宋_GBK"/>
          <w:sz w:val="32"/>
          <w:szCs w:val="32"/>
        </w:rPr>
      </w:pPr>
      <w:r>
        <w:rPr>
          <w:rStyle w:val="8"/>
          <w:rFonts w:hint="eastAsia" w:ascii="方正仿宋_GBK" w:hAnsi="方正仿宋_GBK" w:eastAsia="方正仿宋_GBK" w:cs="方正仿宋_GBK"/>
          <w:sz w:val="32"/>
          <w:szCs w:val="32"/>
        </w:rPr>
        <w:t>（一）收入支出决算总体情况说明</w:t>
      </w:r>
    </w:p>
    <w:p>
      <w:pPr>
        <w:spacing w:line="574" w:lineRule="exact"/>
        <w:ind w:left="0" w:firstLine="643" w:firstLineChars="20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b/>
          <w:sz w:val="32"/>
          <w:szCs w:val="32"/>
        </w:rPr>
        <w:t>1.总体情况。</w:t>
      </w:r>
      <w:r>
        <w:rPr>
          <w:rFonts w:hint="eastAsia" w:ascii="方正仿宋_GBK" w:hAnsi="方正仿宋_GBK" w:eastAsia="方正仿宋_GBK" w:cs="方正仿宋_GBK"/>
          <w:color w:val="000000"/>
          <w:sz w:val="32"/>
          <w:szCs w:val="32"/>
        </w:rPr>
        <w:t>全年总收入9</w:t>
      </w:r>
      <w:r>
        <w:rPr>
          <w:rFonts w:hint="eastAsia" w:ascii="方正仿宋_GBK" w:hAnsi="方正仿宋_GBK" w:eastAsia="方正仿宋_GBK" w:cs="方正仿宋_GBK"/>
          <w:color w:val="000000"/>
          <w:sz w:val="32"/>
          <w:szCs w:val="32"/>
          <w:lang w:val="en-US" w:eastAsia="zh-CN"/>
        </w:rPr>
        <w:t>616.72</w:t>
      </w:r>
      <w:r>
        <w:rPr>
          <w:rFonts w:hint="eastAsia" w:ascii="方正仿宋_GBK" w:hAnsi="方正仿宋_GBK" w:eastAsia="方正仿宋_GBK" w:cs="方正仿宋_GBK"/>
          <w:color w:val="000000"/>
          <w:sz w:val="32"/>
          <w:szCs w:val="32"/>
        </w:rPr>
        <w:t>万元（其中财政补助收入7886.05万元），全年总支出5536.75万元，收支结余4</w:t>
      </w:r>
      <w:r>
        <w:rPr>
          <w:rFonts w:hint="eastAsia" w:ascii="方正仿宋_GBK" w:hAnsi="方正仿宋_GBK" w:eastAsia="方正仿宋_GBK" w:cs="方正仿宋_GBK"/>
          <w:color w:val="000000"/>
          <w:sz w:val="32"/>
          <w:szCs w:val="32"/>
          <w:lang w:val="en-US" w:eastAsia="zh-CN"/>
        </w:rPr>
        <w:t>169.33</w:t>
      </w:r>
      <w:r>
        <w:rPr>
          <w:rFonts w:hint="eastAsia" w:ascii="方正仿宋_GBK" w:hAnsi="方正仿宋_GBK" w:eastAsia="方正仿宋_GBK" w:cs="方正仿宋_GBK"/>
          <w:color w:val="000000"/>
          <w:sz w:val="32"/>
          <w:szCs w:val="32"/>
        </w:rPr>
        <w:t>万元；其中专项结转结余3183.70万元，有精卫中心建设结转2959.76万元，社心建设121.23万元，其他公卫102.71万元；剩余</w:t>
      </w:r>
      <w:r>
        <w:rPr>
          <w:rFonts w:hint="eastAsia" w:ascii="方正仿宋_GBK" w:hAnsi="方正仿宋_GBK" w:eastAsia="方正仿宋_GBK" w:cs="方正仿宋_GBK"/>
          <w:color w:val="000000"/>
          <w:sz w:val="32"/>
          <w:szCs w:val="32"/>
          <w:lang w:val="en-US" w:eastAsia="zh-CN"/>
        </w:rPr>
        <w:t>896.28</w:t>
      </w:r>
      <w:r>
        <w:rPr>
          <w:rFonts w:hint="eastAsia" w:ascii="方正仿宋_GBK" w:hAnsi="方正仿宋_GBK" w:eastAsia="方正仿宋_GBK" w:cs="方正仿宋_GBK"/>
          <w:color w:val="000000"/>
          <w:sz w:val="32"/>
          <w:szCs w:val="32"/>
        </w:rPr>
        <w:t>万元分配情况：按规定提取专用基金358.51万元，转入累计盈余537.77万元；</w:t>
      </w:r>
    </w:p>
    <w:p>
      <w:pPr>
        <w:spacing w:line="574" w:lineRule="exact"/>
        <w:ind w:firstLine="643"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sz w:val="32"/>
          <w:szCs w:val="32"/>
        </w:rPr>
        <w:t>2.收入情况。</w:t>
      </w:r>
      <w:r>
        <w:rPr>
          <w:rFonts w:hint="eastAsia" w:ascii="方正仿宋_GBK" w:hAnsi="方正仿宋_GBK" w:eastAsia="方正仿宋_GBK" w:cs="方正仿宋_GBK"/>
          <w:sz w:val="32"/>
          <w:szCs w:val="32"/>
        </w:rPr>
        <w:t>2020年度收入合计</w:t>
      </w:r>
      <w:r>
        <w:rPr>
          <w:rFonts w:hint="eastAsia" w:ascii="方正仿宋_GBK" w:hAnsi="方正仿宋_GBK" w:eastAsia="方正仿宋_GBK" w:cs="方正仿宋_GBK"/>
          <w:sz w:val="32"/>
          <w:szCs w:val="32"/>
          <w:lang w:val="en-US" w:eastAsia="zh-CN"/>
        </w:rPr>
        <w:t>9616.72</w:t>
      </w:r>
      <w:r>
        <w:rPr>
          <w:rFonts w:hint="eastAsia" w:ascii="方正仿宋_GBK" w:hAnsi="方正仿宋_GBK" w:eastAsia="方正仿宋_GBK" w:cs="方正仿宋_GBK"/>
          <w:sz w:val="32"/>
          <w:szCs w:val="32"/>
        </w:rPr>
        <w:t>万元，较上年</w:t>
      </w:r>
      <w:r>
        <w:rPr>
          <w:rFonts w:hint="eastAsia" w:ascii="方正仿宋_GBK" w:hAnsi="方正仿宋_GBK" w:eastAsia="方正仿宋_GBK" w:cs="方正仿宋_GBK"/>
          <w:color w:val="auto"/>
          <w:sz w:val="32"/>
          <w:szCs w:val="32"/>
        </w:rPr>
        <w:t xml:space="preserve">决算数增加或减少 </w:t>
      </w:r>
      <w:r>
        <w:rPr>
          <w:rFonts w:hint="eastAsia" w:ascii="方正仿宋_GBK" w:hAnsi="方正仿宋_GBK" w:eastAsia="方正仿宋_GBK" w:cs="方正仿宋_GBK"/>
          <w:color w:val="auto"/>
          <w:sz w:val="32"/>
          <w:szCs w:val="32"/>
          <w:lang w:val="en-US" w:eastAsia="zh-CN"/>
        </w:rPr>
        <w:t>0</w:t>
      </w:r>
      <w:r>
        <w:rPr>
          <w:rFonts w:hint="eastAsia" w:ascii="方正仿宋_GBK" w:hAnsi="方正仿宋_GBK" w:eastAsia="方正仿宋_GBK" w:cs="方正仿宋_GBK"/>
          <w:color w:val="auto"/>
          <w:sz w:val="32"/>
          <w:szCs w:val="32"/>
        </w:rPr>
        <w:t xml:space="preserve">万元，增长或下降 </w:t>
      </w:r>
      <w:r>
        <w:rPr>
          <w:rFonts w:hint="eastAsia" w:ascii="方正仿宋_GBK" w:hAnsi="方正仿宋_GBK" w:eastAsia="方正仿宋_GBK" w:cs="方正仿宋_GBK"/>
          <w:color w:val="auto"/>
          <w:sz w:val="32"/>
          <w:szCs w:val="32"/>
          <w:lang w:val="en-US" w:eastAsia="zh-CN"/>
        </w:rPr>
        <w:t>0</w:t>
      </w:r>
      <w:r>
        <w:rPr>
          <w:rFonts w:hint="eastAsia" w:ascii="方正仿宋_GBK" w:hAnsi="方正仿宋_GBK" w:eastAsia="方正仿宋_GBK" w:cs="方正仿宋_GBK"/>
          <w:color w:val="auto"/>
          <w:sz w:val="32"/>
          <w:szCs w:val="32"/>
        </w:rPr>
        <w:t>%，主要原因是</w:t>
      </w:r>
      <w:r>
        <w:rPr>
          <w:rFonts w:hint="eastAsia" w:ascii="方正仿宋_GBK" w:hAnsi="方正仿宋_GBK" w:eastAsia="方正仿宋_GBK" w:cs="方正仿宋_GBK"/>
          <w:color w:val="auto"/>
          <w:sz w:val="32"/>
          <w:szCs w:val="32"/>
          <w:lang w:val="en-US" w:eastAsia="zh-CN"/>
        </w:rPr>
        <w:t>本单位2020年为新增单位</w:t>
      </w:r>
      <w:r>
        <w:rPr>
          <w:rFonts w:hint="eastAsia" w:ascii="方正仿宋_GBK" w:hAnsi="方正仿宋_GBK" w:eastAsia="方正仿宋_GBK" w:cs="方正仿宋_GBK"/>
          <w:color w:val="auto"/>
          <w:sz w:val="32"/>
          <w:szCs w:val="32"/>
        </w:rPr>
        <w:t>。其中：财政拨款收入</w:t>
      </w:r>
      <w:r>
        <w:rPr>
          <w:rFonts w:hint="eastAsia" w:ascii="方正仿宋_GBK" w:hAnsi="方正仿宋_GBK" w:eastAsia="方正仿宋_GBK" w:cs="方正仿宋_GBK"/>
          <w:color w:val="auto"/>
          <w:sz w:val="32"/>
          <w:szCs w:val="32"/>
          <w:lang w:val="en-US" w:eastAsia="zh-CN"/>
        </w:rPr>
        <w:t>78</w:t>
      </w:r>
      <w:r>
        <w:rPr>
          <w:rFonts w:hint="eastAsia" w:ascii="方正仿宋_GBK" w:hAnsi="方正仿宋_GBK" w:eastAsia="方正仿宋_GBK" w:cs="方正仿宋_GBK"/>
          <w:sz w:val="32"/>
          <w:szCs w:val="32"/>
          <w:lang w:val="en-US" w:eastAsia="zh-CN"/>
        </w:rPr>
        <w:t>86.05</w:t>
      </w:r>
      <w:r>
        <w:rPr>
          <w:rFonts w:hint="eastAsia" w:ascii="方正仿宋_GBK" w:hAnsi="方正仿宋_GBK" w:eastAsia="方正仿宋_GBK" w:cs="方正仿宋_GBK"/>
          <w:sz w:val="32"/>
          <w:szCs w:val="32"/>
        </w:rPr>
        <w:t>万元，占</w:t>
      </w:r>
      <w:r>
        <w:rPr>
          <w:rFonts w:hint="eastAsia" w:ascii="方正仿宋_GBK" w:hAnsi="方正仿宋_GBK" w:eastAsia="方正仿宋_GBK" w:cs="方正仿宋_GBK"/>
          <w:sz w:val="32"/>
          <w:szCs w:val="32"/>
          <w:lang w:val="en-US" w:eastAsia="zh-CN"/>
        </w:rPr>
        <w:t>82</w:t>
      </w:r>
      <w:r>
        <w:rPr>
          <w:rFonts w:hint="eastAsia" w:ascii="方正仿宋_GBK" w:hAnsi="方正仿宋_GBK" w:eastAsia="方正仿宋_GBK" w:cs="方正仿宋_GBK"/>
          <w:sz w:val="32"/>
          <w:szCs w:val="32"/>
        </w:rPr>
        <w:t>%；事业收入</w:t>
      </w:r>
      <w:r>
        <w:rPr>
          <w:rFonts w:hint="eastAsia" w:ascii="方正仿宋_GBK" w:hAnsi="方正仿宋_GBK" w:eastAsia="方正仿宋_GBK" w:cs="方正仿宋_GBK"/>
          <w:sz w:val="32"/>
          <w:szCs w:val="32"/>
          <w:lang w:val="en-US" w:eastAsia="zh-CN"/>
        </w:rPr>
        <w:t>1729.16</w:t>
      </w:r>
      <w:r>
        <w:rPr>
          <w:rFonts w:hint="eastAsia" w:ascii="方正仿宋_GBK" w:hAnsi="方正仿宋_GBK" w:eastAsia="方正仿宋_GBK" w:cs="方正仿宋_GBK"/>
          <w:sz w:val="32"/>
          <w:szCs w:val="32"/>
        </w:rPr>
        <w:t>万元，占</w:t>
      </w:r>
      <w:r>
        <w:rPr>
          <w:rFonts w:hint="eastAsia" w:ascii="方正仿宋_GBK" w:hAnsi="方正仿宋_GBK" w:eastAsia="方正仿宋_GBK" w:cs="方正仿宋_GBK"/>
          <w:sz w:val="32"/>
          <w:szCs w:val="32"/>
          <w:lang w:val="en-US" w:eastAsia="zh-CN"/>
        </w:rPr>
        <w:t>17.98</w:t>
      </w:r>
      <w:r>
        <w:rPr>
          <w:rFonts w:hint="eastAsia" w:ascii="方正仿宋_GBK" w:hAnsi="方正仿宋_GBK" w:eastAsia="方正仿宋_GBK" w:cs="方正仿宋_GBK"/>
          <w:sz w:val="32"/>
          <w:szCs w:val="32"/>
        </w:rPr>
        <w:t>%；经营收入</w:t>
      </w:r>
      <w:r>
        <w:rPr>
          <w:rFonts w:hint="eastAsia" w:ascii="方正仿宋_GBK" w:hAnsi="方正仿宋_GBK" w:eastAsia="方正仿宋_GBK" w:cs="方正仿宋_GBK"/>
          <w:sz w:val="32"/>
          <w:szCs w:val="32"/>
          <w:lang w:val="en-US" w:eastAsia="zh-CN"/>
        </w:rPr>
        <w:t>0</w:t>
      </w:r>
      <w:r>
        <w:rPr>
          <w:rFonts w:hint="eastAsia" w:ascii="方正仿宋_GBK" w:hAnsi="方正仿宋_GBK" w:eastAsia="方正仿宋_GBK" w:cs="方正仿宋_GBK"/>
          <w:sz w:val="32"/>
          <w:szCs w:val="32"/>
        </w:rPr>
        <w:t>万元，占</w:t>
      </w:r>
      <w:r>
        <w:rPr>
          <w:rFonts w:hint="eastAsia" w:ascii="方正仿宋_GBK" w:hAnsi="方正仿宋_GBK" w:eastAsia="方正仿宋_GBK" w:cs="方正仿宋_GBK"/>
          <w:sz w:val="32"/>
          <w:szCs w:val="32"/>
          <w:lang w:val="en-US" w:eastAsia="zh-CN"/>
        </w:rPr>
        <w:t>0</w:t>
      </w:r>
      <w:r>
        <w:rPr>
          <w:rFonts w:hint="eastAsia" w:ascii="方正仿宋_GBK" w:hAnsi="方正仿宋_GBK" w:eastAsia="方正仿宋_GBK" w:cs="方正仿宋_GBK"/>
          <w:sz w:val="32"/>
          <w:szCs w:val="32"/>
        </w:rPr>
        <w:t>%；其他收入</w:t>
      </w:r>
      <w:r>
        <w:rPr>
          <w:rFonts w:hint="eastAsia" w:ascii="方正仿宋_GBK" w:hAnsi="方正仿宋_GBK" w:eastAsia="方正仿宋_GBK" w:cs="方正仿宋_GBK"/>
          <w:sz w:val="32"/>
          <w:szCs w:val="32"/>
          <w:lang w:val="en-US" w:eastAsia="zh-CN"/>
        </w:rPr>
        <w:t>1.51</w:t>
      </w:r>
      <w:r>
        <w:rPr>
          <w:rFonts w:hint="eastAsia" w:ascii="方正仿宋_GBK" w:hAnsi="方正仿宋_GBK" w:eastAsia="方正仿宋_GBK" w:cs="方正仿宋_GBK"/>
          <w:sz w:val="32"/>
          <w:szCs w:val="32"/>
        </w:rPr>
        <w:t>万元，占</w:t>
      </w:r>
      <w:r>
        <w:rPr>
          <w:rFonts w:hint="eastAsia" w:ascii="方正仿宋_GBK" w:hAnsi="方正仿宋_GBK" w:eastAsia="方正仿宋_GBK" w:cs="方正仿宋_GBK"/>
          <w:sz w:val="32"/>
          <w:szCs w:val="32"/>
          <w:lang w:val="en-US" w:eastAsia="zh-CN"/>
        </w:rPr>
        <w:t>0.02</w:t>
      </w:r>
      <w:r>
        <w:rPr>
          <w:rFonts w:hint="eastAsia" w:ascii="方正仿宋_GBK" w:hAnsi="方正仿宋_GBK" w:eastAsia="方正仿宋_GBK" w:cs="方正仿宋_GBK"/>
          <w:sz w:val="32"/>
          <w:szCs w:val="32"/>
        </w:rPr>
        <w:t>%。此外，用事业基金弥补收支差额</w:t>
      </w:r>
      <w:r>
        <w:rPr>
          <w:rFonts w:hint="eastAsia" w:ascii="方正仿宋_GBK" w:hAnsi="方正仿宋_GBK" w:eastAsia="方正仿宋_GBK" w:cs="方正仿宋_GBK"/>
          <w:sz w:val="32"/>
          <w:szCs w:val="32"/>
          <w:lang w:val="en-US" w:eastAsia="zh-CN"/>
        </w:rPr>
        <w:t>0</w:t>
      </w:r>
      <w:r>
        <w:rPr>
          <w:rFonts w:hint="eastAsia" w:ascii="方正仿宋_GBK" w:hAnsi="方正仿宋_GBK" w:eastAsia="方正仿宋_GBK" w:cs="方正仿宋_GBK"/>
          <w:sz w:val="32"/>
          <w:szCs w:val="32"/>
        </w:rPr>
        <w:t>万元，年初结转和结余</w:t>
      </w:r>
      <w:r>
        <w:rPr>
          <w:rFonts w:hint="eastAsia" w:ascii="方正仿宋_GBK" w:hAnsi="方正仿宋_GBK" w:eastAsia="方正仿宋_GBK" w:cs="方正仿宋_GBK"/>
          <w:sz w:val="32"/>
          <w:szCs w:val="32"/>
          <w:lang w:val="en-US" w:eastAsia="zh-CN"/>
        </w:rPr>
        <w:t>0</w:t>
      </w:r>
      <w:r>
        <w:rPr>
          <w:rFonts w:hint="eastAsia" w:ascii="方正仿宋_GBK" w:hAnsi="方正仿宋_GBK" w:eastAsia="方正仿宋_GBK" w:cs="方正仿宋_GBK"/>
          <w:sz w:val="32"/>
          <w:szCs w:val="32"/>
        </w:rPr>
        <w:t>万元。</w:t>
      </w:r>
    </w:p>
    <w:p>
      <w:pPr>
        <w:spacing w:line="574" w:lineRule="exact"/>
        <w:ind w:firstLine="643" w:firstLineChars="20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b/>
          <w:sz w:val="32"/>
          <w:szCs w:val="32"/>
        </w:rPr>
        <w:t>3.支出情况。</w:t>
      </w:r>
      <w:r>
        <w:rPr>
          <w:rFonts w:hint="eastAsia" w:ascii="方正仿宋_GBK" w:hAnsi="方正仿宋_GBK" w:eastAsia="方正仿宋_GBK" w:cs="方正仿宋_GBK"/>
          <w:sz w:val="32"/>
          <w:szCs w:val="32"/>
        </w:rPr>
        <w:t>2020年度支出合计</w:t>
      </w:r>
      <w:r>
        <w:rPr>
          <w:rFonts w:hint="eastAsia" w:ascii="方正仿宋_GBK" w:hAnsi="方正仿宋_GBK" w:eastAsia="方正仿宋_GBK" w:cs="方正仿宋_GBK"/>
          <w:sz w:val="32"/>
          <w:szCs w:val="32"/>
          <w:lang w:val="en-US" w:eastAsia="zh-CN"/>
        </w:rPr>
        <w:t>5536.75</w:t>
      </w:r>
      <w:r>
        <w:rPr>
          <w:rFonts w:hint="eastAsia" w:ascii="方正仿宋_GBK" w:hAnsi="方正仿宋_GBK" w:eastAsia="方正仿宋_GBK" w:cs="方正仿宋_GBK"/>
          <w:sz w:val="32"/>
          <w:szCs w:val="32"/>
        </w:rPr>
        <w:t>万元，较上年决算数</w:t>
      </w:r>
      <w:r>
        <w:rPr>
          <w:rFonts w:hint="eastAsia" w:ascii="方正仿宋_GBK" w:hAnsi="方正仿宋_GBK" w:eastAsia="方正仿宋_GBK" w:cs="方正仿宋_GBK"/>
          <w:color w:val="auto"/>
          <w:sz w:val="32"/>
          <w:szCs w:val="32"/>
        </w:rPr>
        <w:t xml:space="preserve">增加或减少 </w:t>
      </w:r>
      <w:r>
        <w:rPr>
          <w:rFonts w:hint="eastAsia" w:ascii="方正仿宋_GBK" w:hAnsi="方正仿宋_GBK" w:eastAsia="方正仿宋_GBK" w:cs="方正仿宋_GBK"/>
          <w:color w:val="auto"/>
          <w:sz w:val="32"/>
          <w:szCs w:val="32"/>
          <w:lang w:val="en-US" w:eastAsia="zh-CN"/>
        </w:rPr>
        <w:t>0</w:t>
      </w:r>
      <w:r>
        <w:rPr>
          <w:rFonts w:hint="eastAsia" w:ascii="方正仿宋_GBK" w:hAnsi="方正仿宋_GBK" w:eastAsia="方正仿宋_GBK" w:cs="方正仿宋_GBK"/>
          <w:color w:val="auto"/>
          <w:sz w:val="32"/>
          <w:szCs w:val="32"/>
        </w:rPr>
        <w:t xml:space="preserve">万元，增长或下降 </w:t>
      </w:r>
      <w:r>
        <w:rPr>
          <w:rFonts w:hint="eastAsia" w:ascii="方正仿宋_GBK" w:hAnsi="方正仿宋_GBK" w:eastAsia="方正仿宋_GBK" w:cs="方正仿宋_GBK"/>
          <w:color w:val="auto"/>
          <w:sz w:val="32"/>
          <w:szCs w:val="32"/>
          <w:lang w:val="en-US" w:eastAsia="zh-CN"/>
        </w:rPr>
        <w:t>0</w:t>
      </w:r>
      <w:r>
        <w:rPr>
          <w:rFonts w:hint="eastAsia" w:ascii="方正仿宋_GBK" w:hAnsi="方正仿宋_GBK" w:eastAsia="方正仿宋_GBK" w:cs="方正仿宋_GBK"/>
          <w:color w:val="auto"/>
          <w:sz w:val="32"/>
          <w:szCs w:val="32"/>
        </w:rPr>
        <w:t>%，主要原因是</w:t>
      </w:r>
      <w:r>
        <w:rPr>
          <w:rFonts w:hint="eastAsia" w:ascii="方正仿宋_GBK" w:hAnsi="方正仿宋_GBK" w:eastAsia="方正仿宋_GBK" w:cs="方正仿宋_GBK"/>
          <w:color w:val="auto"/>
          <w:sz w:val="32"/>
          <w:szCs w:val="32"/>
          <w:lang w:val="en-US" w:eastAsia="zh-CN"/>
        </w:rPr>
        <w:t>本单位2020年为新增单位</w:t>
      </w:r>
      <w:r>
        <w:rPr>
          <w:rFonts w:hint="eastAsia" w:ascii="方正仿宋_GBK" w:hAnsi="方正仿宋_GBK" w:eastAsia="方正仿宋_GBK" w:cs="方正仿宋_GBK"/>
          <w:color w:val="auto"/>
          <w:sz w:val="32"/>
          <w:szCs w:val="32"/>
        </w:rPr>
        <w:t xml:space="preserve"> 。其中：基本支出</w:t>
      </w:r>
      <w:r>
        <w:rPr>
          <w:rFonts w:hint="eastAsia" w:ascii="方正仿宋_GBK" w:hAnsi="方正仿宋_GBK" w:eastAsia="方正仿宋_GBK" w:cs="方正仿宋_GBK"/>
          <w:color w:val="auto"/>
          <w:sz w:val="32"/>
          <w:szCs w:val="32"/>
          <w:lang w:val="en-US" w:eastAsia="zh-CN"/>
        </w:rPr>
        <w:t>1305.25</w:t>
      </w:r>
      <w:r>
        <w:rPr>
          <w:rFonts w:hint="eastAsia" w:ascii="方正仿宋_GBK" w:hAnsi="方正仿宋_GBK" w:eastAsia="方正仿宋_GBK" w:cs="方正仿宋_GBK"/>
          <w:color w:val="auto"/>
          <w:sz w:val="32"/>
          <w:szCs w:val="32"/>
        </w:rPr>
        <w:t>万元，占</w:t>
      </w:r>
      <w:r>
        <w:rPr>
          <w:rFonts w:hint="eastAsia" w:ascii="方正仿宋_GBK" w:hAnsi="方正仿宋_GBK" w:eastAsia="方正仿宋_GBK" w:cs="方正仿宋_GBK"/>
          <w:color w:val="auto"/>
          <w:sz w:val="32"/>
          <w:szCs w:val="32"/>
          <w:lang w:val="en-US" w:eastAsia="zh-CN"/>
        </w:rPr>
        <w:t>23.57</w:t>
      </w:r>
      <w:r>
        <w:rPr>
          <w:rFonts w:hint="eastAsia" w:ascii="方正仿宋_GBK" w:hAnsi="方正仿宋_GBK" w:eastAsia="方正仿宋_GBK" w:cs="方正仿宋_GBK"/>
          <w:color w:val="auto"/>
          <w:sz w:val="32"/>
          <w:szCs w:val="32"/>
        </w:rPr>
        <w:t>%；项目支出</w:t>
      </w:r>
      <w:r>
        <w:rPr>
          <w:rFonts w:hint="eastAsia" w:ascii="方正仿宋_GBK" w:hAnsi="方正仿宋_GBK" w:eastAsia="方正仿宋_GBK" w:cs="方正仿宋_GBK"/>
          <w:color w:val="auto"/>
          <w:sz w:val="32"/>
          <w:szCs w:val="32"/>
          <w:lang w:val="en-US" w:eastAsia="zh-CN"/>
        </w:rPr>
        <w:t>4231.50</w:t>
      </w:r>
      <w:r>
        <w:rPr>
          <w:rFonts w:hint="eastAsia" w:ascii="方正仿宋_GBK" w:hAnsi="方正仿宋_GBK" w:eastAsia="方正仿宋_GBK" w:cs="方正仿宋_GBK"/>
          <w:color w:val="auto"/>
          <w:sz w:val="32"/>
          <w:szCs w:val="32"/>
        </w:rPr>
        <w:t>万元，占</w:t>
      </w:r>
      <w:r>
        <w:rPr>
          <w:rFonts w:hint="eastAsia" w:ascii="方正仿宋_GBK" w:hAnsi="方正仿宋_GBK" w:eastAsia="方正仿宋_GBK" w:cs="方正仿宋_GBK"/>
          <w:color w:val="auto"/>
          <w:sz w:val="32"/>
          <w:szCs w:val="32"/>
          <w:lang w:val="en-US" w:eastAsia="zh-CN"/>
        </w:rPr>
        <w:t>76.43</w:t>
      </w:r>
      <w:r>
        <w:rPr>
          <w:rFonts w:hint="eastAsia" w:ascii="方正仿宋_GBK" w:hAnsi="方正仿宋_GBK" w:eastAsia="方正仿宋_GBK" w:cs="方正仿宋_GBK"/>
          <w:color w:val="auto"/>
          <w:sz w:val="32"/>
          <w:szCs w:val="32"/>
        </w:rPr>
        <w:t>%；经营支出</w:t>
      </w:r>
      <w:r>
        <w:rPr>
          <w:rFonts w:hint="eastAsia" w:ascii="方正仿宋_GBK" w:hAnsi="方正仿宋_GBK" w:eastAsia="方正仿宋_GBK" w:cs="方正仿宋_GBK"/>
          <w:color w:val="auto"/>
          <w:sz w:val="32"/>
          <w:szCs w:val="32"/>
          <w:lang w:val="en-US" w:eastAsia="zh-CN"/>
        </w:rPr>
        <w:t>0</w:t>
      </w:r>
      <w:r>
        <w:rPr>
          <w:rFonts w:hint="eastAsia" w:ascii="方正仿宋_GBK" w:hAnsi="方正仿宋_GBK" w:eastAsia="方正仿宋_GBK" w:cs="方正仿宋_GBK"/>
          <w:color w:val="auto"/>
          <w:sz w:val="32"/>
          <w:szCs w:val="32"/>
        </w:rPr>
        <w:t>万元，占</w:t>
      </w:r>
      <w:r>
        <w:rPr>
          <w:rFonts w:hint="eastAsia" w:ascii="方正仿宋_GBK" w:hAnsi="方正仿宋_GBK" w:eastAsia="方正仿宋_GBK" w:cs="方正仿宋_GBK"/>
          <w:color w:val="auto"/>
          <w:sz w:val="32"/>
          <w:szCs w:val="32"/>
          <w:lang w:val="en-US" w:eastAsia="zh-CN"/>
        </w:rPr>
        <w:t>0</w:t>
      </w:r>
      <w:r>
        <w:rPr>
          <w:rFonts w:hint="eastAsia" w:ascii="方正仿宋_GBK" w:hAnsi="方正仿宋_GBK" w:eastAsia="方正仿宋_GBK" w:cs="方正仿宋_GBK"/>
          <w:color w:val="auto"/>
          <w:sz w:val="32"/>
          <w:szCs w:val="32"/>
        </w:rPr>
        <w:t>%。此外，结余分配</w:t>
      </w:r>
      <w:r>
        <w:rPr>
          <w:rFonts w:hint="eastAsia" w:ascii="方正仿宋_GBK" w:hAnsi="方正仿宋_GBK" w:eastAsia="方正仿宋_GBK" w:cs="方正仿宋_GBK"/>
          <w:color w:val="auto"/>
          <w:sz w:val="32"/>
          <w:szCs w:val="32"/>
          <w:lang w:val="en-US" w:eastAsia="zh-CN"/>
        </w:rPr>
        <w:t>3183.69</w:t>
      </w:r>
      <w:r>
        <w:rPr>
          <w:rFonts w:hint="eastAsia" w:ascii="方正仿宋_GBK" w:hAnsi="方正仿宋_GBK" w:eastAsia="方正仿宋_GBK" w:cs="方正仿宋_GBK"/>
          <w:color w:val="auto"/>
          <w:sz w:val="32"/>
          <w:szCs w:val="32"/>
        </w:rPr>
        <w:t>万元。</w:t>
      </w:r>
    </w:p>
    <w:p>
      <w:pPr>
        <w:spacing w:line="574" w:lineRule="exact"/>
        <w:ind w:firstLine="643"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b/>
          <w:color w:val="auto"/>
          <w:sz w:val="32"/>
          <w:szCs w:val="32"/>
        </w:rPr>
        <w:t>4.结转结余情况。</w:t>
      </w:r>
      <w:r>
        <w:rPr>
          <w:rFonts w:hint="eastAsia" w:ascii="方正仿宋_GBK" w:hAnsi="方正仿宋_GBK" w:eastAsia="方正仿宋_GBK" w:cs="方正仿宋_GBK"/>
          <w:color w:val="auto"/>
          <w:sz w:val="32"/>
          <w:szCs w:val="32"/>
        </w:rPr>
        <w:t>2020年度年末结转和结余</w:t>
      </w:r>
      <w:r>
        <w:rPr>
          <w:rFonts w:hint="eastAsia" w:ascii="方正仿宋_GBK" w:hAnsi="方正仿宋_GBK" w:eastAsia="方正仿宋_GBK" w:cs="方正仿宋_GBK"/>
          <w:color w:val="auto"/>
          <w:sz w:val="32"/>
          <w:szCs w:val="32"/>
          <w:lang w:val="en-US" w:eastAsia="zh-CN"/>
        </w:rPr>
        <w:t>3183.69</w:t>
      </w:r>
      <w:r>
        <w:rPr>
          <w:rFonts w:hint="eastAsia" w:ascii="方正仿宋_GBK" w:hAnsi="方正仿宋_GBK" w:eastAsia="方正仿宋_GBK" w:cs="方正仿宋_GBK"/>
          <w:color w:val="auto"/>
          <w:sz w:val="32"/>
          <w:szCs w:val="32"/>
        </w:rPr>
        <w:t xml:space="preserve">万元，较上年决算数增加或减少 </w:t>
      </w:r>
      <w:r>
        <w:rPr>
          <w:rFonts w:hint="eastAsia" w:ascii="方正仿宋_GBK" w:hAnsi="方正仿宋_GBK" w:eastAsia="方正仿宋_GBK" w:cs="方正仿宋_GBK"/>
          <w:color w:val="auto"/>
          <w:sz w:val="32"/>
          <w:szCs w:val="32"/>
          <w:lang w:val="en-US" w:eastAsia="zh-CN"/>
        </w:rPr>
        <w:t>0</w:t>
      </w:r>
      <w:r>
        <w:rPr>
          <w:rFonts w:hint="eastAsia" w:ascii="方正仿宋_GBK" w:hAnsi="方正仿宋_GBK" w:eastAsia="方正仿宋_GBK" w:cs="方正仿宋_GBK"/>
          <w:color w:val="auto"/>
          <w:sz w:val="32"/>
          <w:szCs w:val="32"/>
        </w:rPr>
        <w:t xml:space="preserve">万元，增长或下降 </w:t>
      </w:r>
      <w:r>
        <w:rPr>
          <w:rFonts w:hint="eastAsia" w:ascii="方正仿宋_GBK" w:hAnsi="方正仿宋_GBK" w:eastAsia="方正仿宋_GBK" w:cs="方正仿宋_GBK"/>
          <w:color w:val="auto"/>
          <w:sz w:val="32"/>
          <w:szCs w:val="32"/>
          <w:lang w:val="en-US" w:eastAsia="zh-CN"/>
        </w:rPr>
        <w:t>0</w:t>
      </w:r>
      <w:r>
        <w:rPr>
          <w:rFonts w:hint="eastAsia" w:ascii="方正仿宋_GBK" w:hAnsi="方正仿宋_GBK" w:eastAsia="方正仿宋_GBK" w:cs="方正仿宋_GBK"/>
          <w:color w:val="auto"/>
          <w:sz w:val="32"/>
          <w:szCs w:val="32"/>
        </w:rPr>
        <w:t>%，主</w:t>
      </w:r>
      <w:r>
        <w:rPr>
          <w:rFonts w:hint="eastAsia" w:ascii="方正仿宋_GBK" w:hAnsi="方正仿宋_GBK" w:eastAsia="方正仿宋_GBK" w:cs="方正仿宋_GBK"/>
          <w:sz w:val="32"/>
          <w:szCs w:val="32"/>
        </w:rPr>
        <w:t>要原因是</w:t>
      </w:r>
      <w:r>
        <w:rPr>
          <w:rFonts w:hint="eastAsia" w:ascii="方正仿宋_GBK" w:hAnsi="方正仿宋_GBK" w:eastAsia="方正仿宋_GBK" w:cs="方正仿宋_GBK"/>
          <w:sz w:val="32"/>
          <w:szCs w:val="32"/>
          <w:lang w:val="en-US" w:eastAsia="zh-CN"/>
        </w:rPr>
        <w:t>本单位2020年为新增单位。</w:t>
      </w:r>
    </w:p>
    <w:p>
      <w:pPr>
        <w:pStyle w:val="5"/>
        <w:shd w:val="clear" w:color="auto" w:fill="FFFFFF"/>
        <w:spacing w:before="0" w:beforeAutospacing="0" w:after="0" w:afterAutospacing="0" w:line="560" w:lineRule="exact"/>
        <w:ind w:firstLine="643" w:firstLineChars="200"/>
        <w:jc w:val="both"/>
        <w:outlineLvl w:val="0"/>
        <w:rPr>
          <w:rStyle w:val="8"/>
          <w:rFonts w:hint="eastAsia" w:ascii="方正仿宋_GBK" w:hAnsi="方正仿宋_GBK" w:eastAsia="方正仿宋_GBK" w:cs="方正仿宋_GBK"/>
        </w:rPr>
      </w:pPr>
      <w:r>
        <w:rPr>
          <w:rStyle w:val="8"/>
          <w:rFonts w:hint="eastAsia" w:ascii="方正仿宋_GBK" w:hAnsi="方正仿宋_GBK" w:eastAsia="方正仿宋_GBK" w:cs="方正仿宋_GBK"/>
          <w:sz w:val="32"/>
          <w:szCs w:val="32"/>
        </w:rPr>
        <w:t>（二）财政拨款收入支出决算总体情况说明</w:t>
      </w:r>
    </w:p>
    <w:p>
      <w:pPr>
        <w:pStyle w:val="5"/>
        <w:shd w:val="clear" w:color="auto" w:fill="FFFFFF"/>
        <w:spacing w:before="0" w:beforeAutospacing="0" w:after="0" w:afterAutospacing="0" w:line="560" w:lineRule="exact"/>
        <w:ind w:firstLine="640" w:firstLineChars="200"/>
        <w:jc w:val="both"/>
        <w:rPr>
          <w:rFonts w:hint="eastAsia" w:ascii="方正仿宋_GBK" w:hAnsi="方正仿宋_GBK" w:eastAsia="方正仿宋_GBK" w:cs="方正仿宋_GBK"/>
          <w:color w:val="auto"/>
        </w:rPr>
      </w:pPr>
      <w:r>
        <w:rPr>
          <w:rFonts w:hint="eastAsia" w:ascii="方正仿宋_GBK" w:hAnsi="方正仿宋_GBK" w:eastAsia="方正仿宋_GBK" w:cs="方正仿宋_GBK"/>
          <w:bCs/>
          <w:sz w:val="32"/>
          <w:szCs w:val="32"/>
        </w:rPr>
        <w:t>2020年度财政拨款收</w:t>
      </w:r>
      <w:r>
        <w:rPr>
          <w:rFonts w:hint="eastAsia" w:ascii="方正仿宋_GBK" w:hAnsi="方正仿宋_GBK" w:eastAsia="方正仿宋_GBK" w:cs="方正仿宋_GBK"/>
          <w:bCs/>
          <w:sz w:val="32"/>
          <w:szCs w:val="32"/>
          <w:lang w:eastAsia="zh-CN"/>
        </w:rPr>
        <w:t>入</w:t>
      </w:r>
      <w:r>
        <w:rPr>
          <w:rFonts w:hint="eastAsia" w:ascii="方正仿宋_GBK" w:hAnsi="方正仿宋_GBK" w:eastAsia="方正仿宋_GBK" w:cs="方正仿宋_GBK"/>
          <w:bCs/>
          <w:sz w:val="32"/>
          <w:szCs w:val="32"/>
          <w:lang w:val="en-US" w:eastAsia="zh-CN"/>
        </w:rPr>
        <w:t>7886.05</w:t>
      </w:r>
      <w:r>
        <w:rPr>
          <w:rFonts w:hint="eastAsia" w:ascii="方正仿宋_GBK" w:hAnsi="方正仿宋_GBK" w:eastAsia="方正仿宋_GBK" w:cs="方正仿宋_GBK"/>
          <w:bCs/>
          <w:sz w:val="32"/>
          <w:szCs w:val="32"/>
        </w:rPr>
        <w:t>、支总计</w:t>
      </w:r>
      <w:r>
        <w:rPr>
          <w:rFonts w:hint="eastAsia" w:ascii="方正仿宋_GBK" w:hAnsi="方正仿宋_GBK" w:eastAsia="方正仿宋_GBK" w:cs="方正仿宋_GBK"/>
          <w:bCs/>
          <w:sz w:val="32"/>
          <w:szCs w:val="32"/>
          <w:lang w:val="en-US" w:eastAsia="zh-CN"/>
        </w:rPr>
        <w:t>7886.05</w:t>
      </w:r>
      <w:r>
        <w:rPr>
          <w:rFonts w:hint="eastAsia" w:ascii="方正仿宋_GBK" w:hAnsi="方正仿宋_GBK" w:eastAsia="方正仿宋_GBK" w:cs="方正仿宋_GBK"/>
          <w:bCs/>
          <w:sz w:val="32"/>
          <w:szCs w:val="32"/>
        </w:rPr>
        <w:t>万元。财政</w:t>
      </w:r>
      <w:r>
        <w:rPr>
          <w:rFonts w:hint="eastAsia" w:ascii="方正仿宋_GBK" w:hAnsi="方正仿宋_GBK" w:eastAsia="方正仿宋_GBK" w:cs="方正仿宋_GBK"/>
          <w:bCs/>
          <w:color w:val="auto"/>
          <w:sz w:val="32"/>
          <w:szCs w:val="32"/>
        </w:rPr>
        <w:t xml:space="preserve">拨款收、支总计各减少 </w:t>
      </w:r>
      <w:r>
        <w:rPr>
          <w:rFonts w:hint="eastAsia" w:ascii="方正仿宋_GBK" w:hAnsi="方正仿宋_GBK" w:eastAsia="方正仿宋_GBK" w:cs="方正仿宋_GBK"/>
          <w:bCs/>
          <w:color w:val="auto"/>
          <w:sz w:val="32"/>
          <w:szCs w:val="32"/>
          <w:lang w:val="en-US" w:eastAsia="zh-CN"/>
        </w:rPr>
        <w:t>0</w:t>
      </w:r>
      <w:r>
        <w:rPr>
          <w:rFonts w:hint="eastAsia" w:ascii="方正仿宋_GBK" w:hAnsi="方正仿宋_GBK" w:eastAsia="方正仿宋_GBK" w:cs="方正仿宋_GBK"/>
          <w:bCs/>
          <w:color w:val="auto"/>
          <w:sz w:val="32"/>
          <w:szCs w:val="32"/>
        </w:rPr>
        <w:t xml:space="preserve">万元，下降 </w:t>
      </w:r>
      <w:r>
        <w:rPr>
          <w:rFonts w:hint="eastAsia" w:ascii="方正仿宋_GBK" w:hAnsi="方正仿宋_GBK" w:eastAsia="方正仿宋_GBK" w:cs="方正仿宋_GBK"/>
          <w:bCs/>
          <w:color w:val="auto"/>
          <w:sz w:val="32"/>
          <w:szCs w:val="32"/>
          <w:lang w:val="en-US" w:eastAsia="zh-CN"/>
        </w:rPr>
        <w:t>0</w:t>
      </w:r>
      <w:r>
        <w:rPr>
          <w:rFonts w:hint="eastAsia" w:ascii="方正仿宋_GBK" w:hAnsi="方正仿宋_GBK" w:eastAsia="方正仿宋_GBK" w:cs="方正仿宋_GBK"/>
          <w:bCs/>
          <w:color w:val="auto"/>
          <w:sz w:val="32"/>
          <w:szCs w:val="32"/>
        </w:rPr>
        <w:t>%。</w:t>
      </w:r>
      <w:r>
        <w:rPr>
          <w:rFonts w:hint="eastAsia" w:ascii="方正仿宋_GBK" w:hAnsi="方正仿宋_GBK" w:eastAsia="方正仿宋_GBK" w:cs="方正仿宋_GBK"/>
          <w:color w:val="auto"/>
          <w:sz w:val="32"/>
          <w:szCs w:val="32"/>
        </w:rPr>
        <w:t>主要原因是</w:t>
      </w:r>
      <w:r>
        <w:rPr>
          <w:rFonts w:hint="eastAsia" w:ascii="方正仿宋_GBK" w:hAnsi="方正仿宋_GBK" w:eastAsia="方正仿宋_GBK" w:cs="方正仿宋_GBK"/>
          <w:color w:val="auto"/>
          <w:sz w:val="32"/>
          <w:szCs w:val="32"/>
          <w:lang w:val="en-US" w:eastAsia="zh-CN"/>
        </w:rPr>
        <w:t>本单位2020年为新增单位</w:t>
      </w:r>
      <w:r>
        <w:rPr>
          <w:rFonts w:hint="eastAsia" w:ascii="方正仿宋_GBK" w:hAnsi="方正仿宋_GBK" w:eastAsia="方正仿宋_GBK" w:cs="方正仿宋_GBK"/>
          <w:color w:val="auto"/>
          <w:sz w:val="32"/>
          <w:szCs w:val="32"/>
        </w:rPr>
        <w:t>。</w:t>
      </w:r>
      <w:bookmarkStart w:id="0" w:name="_GoBack"/>
      <w:bookmarkEnd w:id="0"/>
    </w:p>
    <w:p>
      <w:pPr>
        <w:pStyle w:val="5"/>
        <w:shd w:val="clear" w:color="auto" w:fill="FFFFFF"/>
        <w:spacing w:before="0" w:beforeAutospacing="0" w:after="0" w:afterAutospacing="0" w:line="560" w:lineRule="exact"/>
        <w:ind w:firstLine="643" w:firstLineChars="200"/>
        <w:jc w:val="both"/>
        <w:outlineLvl w:val="0"/>
        <w:rPr>
          <w:rStyle w:val="8"/>
          <w:rFonts w:hint="eastAsia" w:ascii="方正仿宋_GBK" w:hAnsi="方正仿宋_GBK" w:eastAsia="方正仿宋_GBK" w:cs="方正仿宋_GBK"/>
          <w:color w:val="auto"/>
        </w:rPr>
      </w:pPr>
      <w:r>
        <w:rPr>
          <w:rStyle w:val="8"/>
          <w:rFonts w:hint="eastAsia" w:ascii="方正仿宋_GBK" w:hAnsi="方正仿宋_GBK" w:eastAsia="方正仿宋_GBK" w:cs="方正仿宋_GBK"/>
          <w:color w:val="auto"/>
          <w:sz w:val="32"/>
          <w:szCs w:val="32"/>
        </w:rPr>
        <w:t>（三）一般公共预算财政拨款支出决算情况说明</w:t>
      </w:r>
    </w:p>
    <w:p>
      <w:pPr>
        <w:pStyle w:val="5"/>
        <w:shd w:val="clear" w:color="auto" w:fill="FFFFFF"/>
        <w:spacing w:before="0" w:beforeAutospacing="0" w:after="0" w:afterAutospacing="0" w:line="560" w:lineRule="exact"/>
        <w:ind w:firstLine="643" w:firstLineChars="200"/>
        <w:jc w:val="both"/>
        <w:rPr>
          <w:rFonts w:hint="eastAsia" w:ascii="方正仿宋_GBK" w:hAnsi="方正仿宋_GBK" w:eastAsia="方正仿宋_GBK" w:cs="方正仿宋_GBK"/>
        </w:rPr>
      </w:pPr>
      <w:r>
        <w:rPr>
          <w:rFonts w:hint="eastAsia" w:ascii="方正仿宋_GBK" w:hAnsi="方正仿宋_GBK" w:eastAsia="方正仿宋_GBK" w:cs="方正仿宋_GBK"/>
          <w:b/>
          <w:color w:val="auto"/>
          <w:sz w:val="32"/>
          <w:szCs w:val="32"/>
        </w:rPr>
        <w:t>1.收入情况。</w:t>
      </w:r>
      <w:r>
        <w:rPr>
          <w:rFonts w:hint="eastAsia" w:ascii="方正仿宋_GBK" w:hAnsi="方正仿宋_GBK" w:eastAsia="方正仿宋_GBK" w:cs="方正仿宋_GBK"/>
          <w:color w:val="auto"/>
          <w:sz w:val="32"/>
          <w:szCs w:val="32"/>
        </w:rPr>
        <w:t>2020年度一般公共预算财政拨款收入</w:t>
      </w:r>
      <w:r>
        <w:rPr>
          <w:rFonts w:hint="eastAsia" w:ascii="方正仿宋_GBK" w:hAnsi="方正仿宋_GBK" w:eastAsia="方正仿宋_GBK" w:cs="方正仿宋_GBK"/>
          <w:color w:val="auto"/>
          <w:sz w:val="32"/>
          <w:szCs w:val="32"/>
          <w:lang w:val="en-US" w:eastAsia="zh-CN"/>
        </w:rPr>
        <w:t>1086.05</w:t>
      </w:r>
      <w:r>
        <w:rPr>
          <w:rFonts w:hint="eastAsia" w:ascii="方正仿宋_GBK" w:hAnsi="方正仿宋_GBK" w:eastAsia="方正仿宋_GBK" w:cs="方正仿宋_GBK"/>
          <w:color w:val="auto"/>
          <w:sz w:val="32"/>
          <w:szCs w:val="32"/>
        </w:rPr>
        <w:t>万元，较上年决算数增加或减少</w:t>
      </w:r>
      <w:r>
        <w:rPr>
          <w:rFonts w:hint="eastAsia" w:ascii="方正仿宋_GBK" w:hAnsi="方正仿宋_GBK" w:eastAsia="方正仿宋_GBK" w:cs="方正仿宋_GBK"/>
          <w:color w:val="auto"/>
          <w:sz w:val="32"/>
          <w:szCs w:val="32"/>
          <w:lang w:val="en-US" w:eastAsia="zh-CN"/>
        </w:rPr>
        <w:t>0</w:t>
      </w:r>
      <w:r>
        <w:rPr>
          <w:rFonts w:hint="eastAsia" w:ascii="方正仿宋_GBK" w:hAnsi="方正仿宋_GBK" w:eastAsia="方正仿宋_GBK" w:cs="方正仿宋_GBK"/>
          <w:color w:val="auto"/>
          <w:sz w:val="32"/>
          <w:szCs w:val="32"/>
        </w:rPr>
        <w:t xml:space="preserve">万元，增长或下降 </w:t>
      </w:r>
      <w:r>
        <w:rPr>
          <w:rFonts w:hint="eastAsia" w:ascii="方正仿宋_GBK" w:hAnsi="方正仿宋_GBK" w:eastAsia="方正仿宋_GBK" w:cs="方正仿宋_GBK"/>
          <w:color w:val="auto"/>
          <w:sz w:val="32"/>
          <w:szCs w:val="32"/>
          <w:lang w:val="en-US" w:eastAsia="zh-CN"/>
        </w:rPr>
        <w:t>0</w:t>
      </w:r>
      <w:r>
        <w:rPr>
          <w:rFonts w:hint="eastAsia" w:ascii="方正仿宋_GBK" w:hAnsi="方正仿宋_GBK" w:eastAsia="方正仿宋_GBK" w:cs="方正仿宋_GBK"/>
          <w:color w:val="auto"/>
          <w:sz w:val="32"/>
          <w:szCs w:val="32"/>
        </w:rPr>
        <w:t>%。主要原因是</w:t>
      </w:r>
      <w:r>
        <w:rPr>
          <w:rFonts w:hint="eastAsia" w:ascii="方正仿宋_GBK" w:hAnsi="方正仿宋_GBK" w:eastAsia="方正仿宋_GBK" w:cs="方正仿宋_GBK"/>
          <w:color w:val="auto"/>
          <w:sz w:val="32"/>
          <w:szCs w:val="32"/>
          <w:lang w:val="en-US" w:eastAsia="zh-CN"/>
        </w:rPr>
        <w:t>本单位2020年为新增单位</w:t>
      </w:r>
      <w:r>
        <w:rPr>
          <w:rFonts w:hint="eastAsia" w:ascii="方正仿宋_GBK" w:hAnsi="方正仿宋_GBK" w:eastAsia="方正仿宋_GBK" w:cs="方正仿宋_GBK"/>
          <w:color w:val="auto"/>
          <w:sz w:val="32"/>
          <w:szCs w:val="32"/>
        </w:rPr>
        <w:t>。较年初预算数增加</w:t>
      </w:r>
      <w:r>
        <w:rPr>
          <w:rFonts w:hint="eastAsia" w:ascii="方正仿宋_GBK" w:hAnsi="方正仿宋_GBK" w:eastAsia="方正仿宋_GBK" w:cs="方正仿宋_GBK"/>
          <w:color w:val="auto"/>
          <w:sz w:val="32"/>
          <w:szCs w:val="32"/>
          <w:lang w:val="en-US" w:eastAsia="zh-CN"/>
        </w:rPr>
        <w:t>603.67</w:t>
      </w:r>
      <w:r>
        <w:rPr>
          <w:rFonts w:hint="eastAsia" w:ascii="方正仿宋_GBK" w:hAnsi="方正仿宋_GBK" w:eastAsia="方正仿宋_GBK" w:cs="方正仿宋_GBK"/>
          <w:color w:val="auto"/>
          <w:sz w:val="32"/>
          <w:szCs w:val="32"/>
        </w:rPr>
        <w:t>万元，增长</w:t>
      </w:r>
      <w:r>
        <w:rPr>
          <w:rFonts w:hint="eastAsia" w:ascii="方正仿宋_GBK" w:hAnsi="方正仿宋_GBK" w:eastAsia="方正仿宋_GBK" w:cs="方正仿宋_GBK"/>
          <w:color w:val="auto"/>
          <w:sz w:val="32"/>
          <w:szCs w:val="32"/>
          <w:lang w:val="en-US" w:eastAsia="zh-CN"/>
        </w:rPr>
        <w:t>25.14</w:t>
      </w:r>
      <w:r>
        <w:rPr>
          <w:rFonts w:hint="eastAsia" w:ascii="方正仿宋_GBK" w:hAnsi="方正仿宋_GBK" w:eastAsia="方正仿宋_GBK" w:cs="方正仿宋_GBK"/>
          <w:color w:val="auto"/>
          <w:sz w:val="32"/>
          <w:szCs w:val="32"/>
        </w:rPr>
        <w:t>%。主要原因是</w:t>
      </w:r>
      <w:r>
        <w:rPr>
          <w:rFonts w:hint="eastAsia" w:ascii="方正仿宋_GBK" w:hAnsi="方正仿宋_GBK" w:eastAsia="方正仿宋_GBK" w:cs="方正仿宋_GBK"/>
          <w:color w:val="auto"/>
          <w:sz w:val="32"/>
          <w:szCs w:val="32"/>
          <w:lang w:val="en-US" w:eastAsia="zh-CN"/>
        </w:rPr>
        <w:t>本单位2020</w:t>
      </w:r>
      <w:r>
        <w:rPr>
          <w:rFonts w:hint="eastAsia" w:ascii="方正仿宋_GBK" w:hAnsi="方正仿宋_GBK" w:eastAsia="方正仿宋_GBK" w:cs="方正仿宋_GBK"/>
          <w:sz w:val="32"/>
          <w:szCs w:val="32"/>
          <w:lang w:val="en-US" w:eastAsia="zh-CN"/>
        </w:rPr>
        <w:t>年为追加卫生健康支出预算5万元；公立医院改革支出预算98万元；其他卫生健康支出预算250.5万元；专项补助资金261.7万元，其中重大公卫资金71.7万元，基本公卫资金10万元；其他公卫资金180万元；追减养老保险缴费支出11.53万元。</w:t>
      </w:r>
      <w:r>
        <w:rPr>
          <w:rFonts w:hint="eastAsia" w:ascii="方正仿宋_GBK" w:hAnsi="方正仿宋_GBK" w:eastAsia="方正仿宋_GBK" w:cs="方正仿宋_GBK"/>
          <w:sz w:val="32"/>
          <w:szCs w:val="32"/>
        </w:rPr>
        <w:t>此外，年初财政拨款结转和结余</w:t>
      </w:r>
      <w:r>
        <w:rPr>
          <w:rFonts w:hint="eastAsia" w:ascii="方正仿宋_GBK" w:hAnsi="方正仿宋_GBK" w:eastAsia="方正仿宋_GBK" w:cs="方正仿宋_GBK"/>
          <w:sz w:val="32"/>
          <w:szCs w:val="32"/>
          <w:lang w:val="en-US" w:eastAsia="zh-CN"/>
        </w:rPr>
        <w:t>0</w:t>
      </w:r>
      <w:r>
        <w:rPr>
          <w:rFonts w:hint="eastAsia" w:ascii="方正仿宋_GBK" w:hAnsi="方正仿宋_GBK" w:eastAsia="方正仿宋_GBK" w:cs="方正仿宋_GBK"/>
          <w:sz w:val="32"/>
          <w:szCs w:val="32"/>
        </w:rPr>
        <w:t>万元。</w:t>
      </w:r>
    </w:p>
    <w:p>
      <w:pPr>
        <w:pStyle w:val="5"/>
        <w:shd w:val="clear" w:color="auto" w:fill="FFFFFF"/>
        <w:spacing w:before="0" w:beforeAutospacing="0" w:after="0" w:afterAutospacing="0" w:line="560" w:lineRule="exact"/>
        <w:ind w:firstLine="643" w:firstLineChars="200"/>
        <w:jc w:val="both"/>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b/>
          <w:sz w:val="32"/>
          <w:szCs w:val="32"/>
        </w:rPr>
        <w:t>2</w:t>
      </w:r>
      <w:r>
        <w:rPr>
          <w:rFonts w:hint="eastAsia" w:ascii="方正仿宋_GBK" w:hAnsi="方正仿宋_GBK" w:eastAsia="方正仿宋_GBK" w:cs="方正仿宋_GBK"/>
          <w:b/>
          <w:color w:val="auto"/>
          <w:sz w:val="32"/>
          <w:szCs w:val="32"/>
        </w:rPr>
        <w:t>.支出情况。</w:t>
      </w:r>
      <w:r>
        <w:rPr>
          <w:rFonts w:hint="eastAsia" w:ascii="方正仿宋_GBK" w:hAnsi="方正仿宋_GBK" w:eastAsia="方正仿宋_GBK" w:cs="方正仿宋_GBK"/>
          <w:color w:val="auto"/>
          <w:sz w:val="32"/>
          <w:szCs w:val="32"/>
        </w:rPr>
        <w:t>2020年度一般公共预算财政拨款支出</w:t>
      </w:r>
      <w:r>
        <w:rPr>
          <w:rFonts w:hint="eastAsia" w:ascii="方正仿宋_GBK" w:hAnsi="方正仿宋_GBK" w:eastAsia="方正仿宋_GBK" w:cs="方正仿宋_GBK"/>
          <w:color w:val="auto"/>
          <w:sz w:val="32"/>
          <w:szCs w:val="32"/>
          <w:lang w:val="en-US" w:eastAsia="zh-CN"/>
        </w:rPr>
        <w:t>862.11</w:t>
      </w:r>
      <w:r>
        <w:rPr>
          <w:rFonts w:hint="eastAsia" w:ascii="方正仿宋_GBK" w:hAnsi="方正仿宋_GBK" w:eastAsia="方正仿宋_GBK" w:cs="方正仿宋_GBK"/>
          <w:color w:val="auto"/>
          <w:sz w:val="32"/>
          <w:szCs w:val="32"/>
        </w:rPr>
        <w:t xml:space="preserve">万元，较上年决算数增加或减少 </w:t>
      </w:r>
      <w:r>
        <w:rPr>
          <w:rFonts w:hint="eastAsia" w:ascii="方正仿宋_GBK" w:hAnsi="方正仿宋_GBK" w:eastAsia="方正仿宋_GBK" w:cs="方正仿宋_GBK"/>
          <w:color w:val="auto"/>
          <w:sz w:val="32"/>
          <w:szCs w:val="32"/>
          <w:lang w:val="en-US" w:eastAsia="zh-CN"/>
        </w:rPr>
        <w:t>0</w:t>
      </w:r>
      <w:r>
        <w:rPr>
          <w:rFonts w:hint="eastAsia" w:ascii="方正仿宋_GBK" w:hAnsi="方正仿宋_GBK" w:eastAsia="方正仿宋_GBK" w:cs="方正仿宋_GBK"/>
          <w:color w:val="auto"/>
          <w:sz w:val="32"/>
          <w:szCs w:val="32"/>
        </w:rPr>
        <w:t>万元，增长或下降</w:t>
      </w:r>
      <w:r>
        <w:rPr>
          <w:rFonts w:hint="eastAsia" w:ascii="方正仿宋_GBK" w:hAnsi="方正仿宋_GBK" w:eastAsia="方正仿宋_GBK" w:cs="方正仿宋_GBK"/>
          <w:color w:val="auto"/>
          <w:sz w:val="32"/>
          <w:szCs w:val="32"/>
          <w:lang w:val="en-US" w:eastAsia="zh-CN"/>
        </w:rPr>
        <w:t xml:space="preserve">0 </w:t>
      </w:r>
      <w:r>
        <w:rPr>
          <w:rFonts w:hint="eastAsia" w:ascii="方正仿宋_GBK" w:hAnsi="方正仿宋_GBK" w:eastAsia="方正仿宋_GBK" w:cs="方正仿宋_GBK"/>
          <w:color w:val="auto"/>
          <w:sz w:val="32"/>
          <w:szCs w:val="32"/>
        </w:rPr>
        <w:t>%。主要原因是</w:t>
      </w:r>
      <w:r>
        <w:rPr>
          <w:rFonts w:hint="eastAsia" w:ascii="方正仿宋_GBK" w:hAnsi="方正仿宋_GBK" w:eastAsia="方正仿宋_GBK" w:cs="方正仿宋_GBK"/>
          <w:color w:val="auto"/>
          <w:sz w:val="32"/>
          <w:szCs w:val="32"/>
          <w:lang w:val="en-US" w:eastAsia="zh-CN"/>
        </w:rPr>
        <w:t>本单位2020年为新增单位</w:t>
      </w:r>
      <w:r>
        <w:rPr>
          <w:rFonts w:hint="eastAsia" w:ascii="方正仿宋_GBK" w:hAnsi="方正仿宋_GBK" w:eastAsia="方正仿宋_GBK" w:cs="方正仿宋_GBK"/>
          <w:color w:val="auto"/>
          <w:sz w:val="32"/>
          <w:szCs w:val="32"/>
        </w:rPr>
        <w:t>。较年初预算数增加</w:t>
      </w:r>
      <w:r>
        <w:rPr>
          <w:rFonts w:hint="eastAsia" w:ascii="方正仿宋_GBK" w:hAnsi="方正仿宋_GBK" w:eastAsia="方正仿宋_GBK" w:cs="方正仿宋_GBK"/>
          <w:color w:val="auto"/>
          <w:sz w:val="32"/>
          <w:szCs w:val="32"/>
          <w:lang w:val="en-US" w:eastAsia="zh-CN"/>
        </w:rPr>
        <w:t>379.73</w:t>
      </w:r>
      <w:r>
        <w:rPr>
          <w:rFonts w:hint="eastAsia" w:ascii="方正仿宋_GBK" w:hAnsi="方正仿宋_GBK" w:eastAsia="方正仿宋_GBK" w:cs="方正仿宋_GBK"/>
          <w:color w:val="auto"/>
          <w:sz w:val="32"/>
          <w:szCs w:val="32"/>
        </w:rPr>
        <w:t>万元，增长</w:t>
      </w:r>
      <w:r>
        <w:rPr>
          <w:rFonts w:hint="eastAsia" w:ascii="方正仿宋_GBK" w:hAnsi="方正仿宋_GBK" w:eastAsia="方正仿宋_GBK" w:cs="方正仿宋_GBK"/>
          <w:color w:val="auto"/>
          <w:sz w:val="32"/>
          <w:szCs w:val="32"/>
          <w:lang w:val="en-US" w:eastAsia="zh-CN"/>
        </w:rPr>
        <w:t>78.72</w:t>
      </w:r>
      <w:r>
        <w:rPr>
          <w:rFonts w:hint="eastAsia" w:ascii="方正仿宋_GBK" w:hAnsi="方正仿宋_GBK" w:eastAsia="方正仿宋_GBK" w:cs="方正仿宋_GBK"/>
          <w:color w:val="auto"/>
          <w:sz w:val="32"/>
          <w:szCs w:val="32"/>
        </w:rPr>
        <w:t>%。主要原因是</w:t>
      </w:r>
      <w:r>
        <w:rPr>
          <w:rFonts w:hint="eastAsia" w:ascii="方正仿宋_GBK" w:hAnsi="方正仿宋_GBK" w:eastAsia="方正仿宋_GBK" w:cs="方正仿宋_GBK"/>
          <w:color w:val="auto"/>
          <w:sz w:val="32"/>
          <w:szCs w:val="32"/>
          <w:lang w:eastAsia="zh-CN"/>
        </w:rPr>
        <w:t>专项拨款支出</w:t>
      </w:r>
      <w:r>
        <w:rPr>
          <w:rFonts w:hint="eastAsia" w:ascii="方正仿宋_GBK" w:hAnsi="方正仿宋_GBK" w:eastAsia="方正仿宋_GBK" w:cs="方正仿宋_GBK"/>
          <w:color w:val="auto"/>
          <w:sz w:val="32"/>
          <w:szCs w:val="32"/>
        </w:rPr>
        <w:t>。</w:t>
      </w:r>
    </w:p>
    <w:p>
      <w:pPr>
        <w:pStyle w:val="5"/>
        <w:shd w:val="clear" w:color="auto" w:fill="FFFFFF"/>
        <w:spacing w:before="0" w:beforeAutospacing="0" w:after="0" w:afterAutospacing="0" w:line="560" w:lineRule="exact"/>
        <w:ind w:firstLine="643" w:firstLineChars="200"/>
        <w:jc w:val="both"/>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b/>
          <w:color w:val="auto"/>
          <w:sz w:val="32"/>
          <w:szCs w:val="32"/>
        </w:rPr>
        <w:t>3.结转结余情况。</w:t>
      </w:r>
      <w:r>
        <w:rPr>
          <w:rFonts w:hint="eastAsia" w:ascii="方正仿宋_GBK" w:hAnsi="方正仿宋_GBK" w:eastAsia="方正仿宋_GBK" w:cs="方正仿宋_GBK"/>
          <w:color w:val="auto"/>
          <w:sz w:val="32"/>
          <w:szCs w:val="32"/>
        </w:rPr>
        <w:t>2020年度年末一般公共预算财政拨款结转和结余</w:t>
      </w:r>
      <w:r>
        <w:rPr>
          <w:rFonts w:hint="eastAsia" w:ascii="方正仿宋_GBK" w:hAnsi="方正仿宋_GBK" w:eastAsia="方正仿宋_GBK" w:cs="方正仿宋_GBK"/>
          <w:color w:val="auto"/>
          <w:sz w:val="32"/>
          <w:szCs w:val="32"/>
          <w:lang w:val="en-US" w:eastAsia="zh-CN"/>
        </w:rPr>
        <w:t>223.94</w:t>
      </w:r>
      <w:r>
        <w:rPr>
          <w:rFonts w:hint="eastAsia" w:ascii="方正仿宋_GBK" w:hAnsi="方正仿宋_GBK" w:eastAsia="方正仿宋_GBK" w:cs="方正仿宋_GBK"/>
          <w:color w:val="auto"/>
          <w:sz w:val="32"/>
          <w:szCs w:val="32"/>
        </w:rPr>
        <w:t xml:space="preserve">万元，较上年决算数增加或减少 </w:t>
      </w:r>
      <w:r>
        <w:rPr>
          <w:rFonts w:hint="eastAsia" w:ascii="方正仿宋_GBK" w:hAnsi="方正仿宋_GBK" w:eastAsia="方正仿宋_GBK" w:cs="方正仿宋_GBK"/>
          <w:color w:val="auto"/>
          <w:sz w:val="32"/>
          <w:szCs w:val="32"/>
          <w:lang w:val="en-US" w:eastAsia="zh-CN"/>
        </w:rPr>
        <w:t>0</w:t>
      </w:r>
      <w:r>
        <w:rPr>
          <w:rFonts w:hint="eastAsia" w:ascii="方正仿宋_GBK" w:hAnsi="方正仿宋_GBK" w:eastAsia="方正仿宋_GBK" w:cs="方正仿宋_GBK"/>
          <w:color w:val="auto"/>
          <w:sz w:val="32"/>
          <w:szCs w:val="32"/>
        </w:rPr>
        <w:t xml:space="preserve">万元，增长或下降 </w:t>
      </w:r>
      <w:r>
        <w:rPr>
          <w:rFonts w:hint="eastAsia" w:ascii="方正仿宋_GBK" w:hAnsi="方正仿宋_GBK" w:eastAsia="方正仿宋_GBK" w:cs="方正仿宋_GBK"/>
          <w:color w:val="auto"/>
          <w:sz w:val="32"/>
          <w:szCs w:val="32"/>
          <w:lang w:val="en-US" w:eastAsia="zh-CN"/>
        </w:rPr>
        <w:t>0</w:t>
      </w:r>
      <w:r>
        <w:rPr>
          <w:rFonts w:hint="eastAsia" w:ascii="方正仿宋_GBK" w:hAnsi="方正仿宋_GBK" w:eastAsia="方正仿宋_GBK" w:cs="方正仿宋_GBK"/>
          <w:color w:val="auto"/>
          <w:sz w:val="32"/>
          <w:szCs w:val="32"/>
        </w:rPr>
        <w:t>%，主要原因是</w:t>
      </w:r>
      <w:r>
        <w:rPr>
          <w:rFonts w:hint="eastAsia" w:ascii="方正仿宋_GBK" w:hAnsi="方正仿宋_GBK" w:eastAsia="方正仿宋_GBK" w:cs="方正仿宋_GBK"/>
          <w:color w:val="auto"/>
          <w:sz w:val="32"/>
          <w:szCs w:val="32"/>
          <w:lang w:val="en-US" w:eastAsia="zh-CN"/>
        </w:rPr>
        <w:t>本单位2020年为新增单位</w:t>
      </w:r>
      <w:r>
        <w:rPr>
          <w:rFonts w:hint="eastAsia" w:ascii="方正仿宋_GBK" w:hAnsi="方正仿宋_GBK" w:eastAsia="方正仿宋_GBK" w:cs="方正仿宋_GBK"/>
          <w:color w:val="auto"/>
          <w:sz w:val="32"/>
          <w:szCs w:val="32"/>
        </w:rPr>
        <w:t>。</w:t>
      </w:r>
    </w:p>
    <w:p>
      <w:pPr>
        <w:pStyle w:val="5"/>
        <w:widowControl w:val="0"/>
        <w:shd w:val="clear" w:color="auto" w:fill="FFFFFF"/>
        <w:spacing w:before="0" w:beforeAutospacing="0" w:after="0" w:afterAutospacing="0" w:line="560" w:lineRule="exact"/>
        <w:ind w:firstLine="643" w:firstLineChars="200"/>
        <w:jc w:val="both"/>
        <w:rPr>
          <w:rFonts w:hint="eastAsia" w:ascii="方正仿宋_GBK" w:hAnsi="方正仿宋_GBK" w:eastAsia="方正仿宋_GBK" w:cs="方正仿宋_GBK"/>
          <w:color w:val="FF0000"/>
          <w:sz w:val="32"/>
          <w:szCs w:val="32"/>
        </w:rPr>
      </w:pPr>
      <w:r>
        <w:rPr>
          <w:rFonts w:hint="eastAsia" w:ascii="方正仿宋_GBK" w:hAnsi="方正仿宋_GBK" w:eastAsia="方正仿宋_GBK" w:cs="方正仿宋_GBK"/>
          <w:b/>
          <w:color w:val="auto"/>
          <w:sz w:val="32"/>
          <w:szCs w:val="32"/>
        </w:rPr>
        <w:t>4.比较情况。</w:t>
      </w:r>
      <w:r>
        <w:rPr>
          <w:rFonts w:hint="eastAsia" w:ascii="方正仿宋_GBK" w:hAnsi="方正仿宋_GBK" w:eastAsia="方正仿宋_GBK" w:cs="方正仿宋_GBK"/>
          <w:color w:val="auto"/>
          <w:sz w:val="32"/>
          <w:szCs w:val="32"/>
        </w:rPr>
        <w:t>本部门2020年度一般公共预算财</w:t>
      </w:r>
      <w:r>
        <w:rPr>
          <w:rFonts w:hint="eastAsia" w:ascii="方正仿宋_GBK" w:hAnsi="方正仿宋_GBK" w:eastAsia="方正仿宋_GBK" w:cs="方正仿宋_GBK"/>
          <w:sz w:val="32"/>
          <w:szCs w:val="32"/>
        </w:rPr>
        <w:t>政拨款支出主要用于以下几个方面：</w:t>
      </w:r>
    </w:p>
    <w:p>
      <w:pPr>
        <w:pStyle w:val="5"/>
        <w:shd w:val="clear" w:color="auto" w:fill="FFFFFF"/>
        <w:spacing w:before="0" w:beforeAutospacing="0" w:after="0" w:afterAutospacing="0" w:line="560" w:lineRule="exact"/>
        <w:ind w:firstLine="640" w:firstLineChars="200"/>
        <w:jc w:val="both"/>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sz w:val="32"/>
          <w:szCs w:val="32"/>
        </w:rPr>
        <w:t>（</w:t>
      </w:r>
      <w:r>
        <w:rPr>
          <w:rFonts w:hint="eastAsia" w:ascii="方正仿宋_GBK" w:hAnsi="方正仿宋_GBK" w:eastAsia="方正仿宋_GBK" w:cs="方正仿宋_GBK"/>
          <w:sz w:val="32"/>
          <w:szCs w:val="32"/>
          <w:lang w:val="en-US" w:eastAsia="zh-CN"/>
        </w:rPr>
        <w:t>1</w:t>
      </w:r>
      <w:r>
        <w:rPr>
          <w:rFonts w:hint="eastAsia" w:ascii="方正仿宋_GBK" w:hAnsi="方正仿宋_GBK" w:eastAsia="方正仿宋_GBK" w:cs="方正仿宋_GBK"/>
          <w:sz w:val="32"/>
          <w:szCs w:val="32"/>
        </w:rPr>
        <w:t>）社会保障与就业支出</w:t>
      </w:r>
      <w:r>
        <w:rPr>
          <w:rFonts w:hint="eastAsia" w:ascii="方正仿宋_GBK" w:hAnsi="方正仿宋_GBK" w:eastAsia="方正仿宋_GBK" w:cs="方正仿宋_GBK"/>
          <w:sz w:val="32"/>
          <w:szCs w:val="32"/>
          <w:lang w:val="en-US" w:eastAsia="zh-CN"/>
        </w:rPr>
        <w:t>56.44</w:t>
      </w:r>
      <w:r>
        <w:rPr>
          <w:rFonts w:hint="eastAsia" w:ascii="方正仿宋_GBK" w:hAnsi="方正仿宋_GBK" w:eastAsia="方正仿宋_GBK" w:cs="方正仿宋_GBK"/>
          <w:sz w:val="32"/>
          <w:szCs w:val="32"/>
        </w:rPr>
        <w:t>万元，占</w:t>
      </w:r>
      <w:r>
        <w:rPr>
          <w:rFonts w:hint="eastAsia" w:ascii="方正仿宋_GBK" w:hAnsi="方正仿宋_GBK" w:eastAsia="方正仿宋_GBK" w:cs="方正仿宋_GBK"/>
          <w:sz w:val="32"/>
          <w:szCs w:val="32"/>
          <w:lang w:val="en-US" w:eastAsia="zh-CN"/>
        </w:rPr>
        <w:t>5.2</w:t>
      </w:r>
      <w:r>
        <w:rPr>
          <w:rFonts w:hint="eastAsia" w:ascii="方正仿宋_GBK" w:hAnsi="方正仿宋_GBK" w:eastAsia="方正仿宋_GBK" w:cs="方正仿宋_GBK"/>
          <w:sz w:val="32"/>
          <w:szCs w:val="32"/>
        </w:rPr>
        <w:t>%，较年初预算</w:t>
      </w:r>
      <w:r>
        <w:rPr>
          <w:rFonts w:hint="eastAsia" w:ascii="方正仿宋_GBK" w:hAnsi="方正仿宋_GBK" w:eastAsia="方正仿宋_GBK" w:cs="方正仿宋_GBK"/>
          <w:color w:val="auto"/>
          <w:sz w:val="32"/>
          <w:szCs w:val="32"/>
        </w:rPr>
        <w:t>数减少</w:t>
      </w:r>
      <w:r>
        <w:rPr>
          <w:rFonts w:hint="eastAsia" w:ascii="方正仿宋_GBK" w:hAnsi="方正仿宋_GBK" w:eastAsia="方正仿宋_GBK" w:cs="方正仿宋_GBK"/>
          <w:color w:val="auto"/>
          <w:sz w:val="32"/>
          <w:szCs w:val="32"/>
          <w:lang w:val="en-US" w:eastAsia="zh-CN"/>
        </w:rPr>
        <w:t>11.53</w:t>
      </w:r>
      <w:r>
        <w:rPr>
          <w:rFonts w:hint="eastAsia" w:ascii="方正仿宋_GBK" w:hAnsi="方正仿宋_GBK" w:eastAsia="方正仿宋_GBK" w:cs="方正仿宋_GBK"/>
          <w:color w:val="auto"/>
          <w:sz w:val="32"/>
          <w:szCs w:val="32"/>
        </w:rPr>
        <w:t>万元，下降</w:t>
      </w:r>
      <w:r>
        <w:rPr>
          <w:rFonts w:hint="eastAsia" w:ascii="方正仿宋_GBK" w:hAnsi="方正仿宋_GBK" w:eastAsia="方正仿宋_GBK" w:cs="方正仿宋_GBK"/>
          <w:color w:val="auto"/>
          <w:sz w:val="32"/>
          <w:szCs w:val="32"/>
          <w:lang w:val="en-US" w:eastAsia="zh-CN"/>
        </w:rPr>
        <w:t>16.96</w:t>
      </w:r>
      <w:r>
        <w:rPr>
          <w:rFonts w:hint="eastAsia" w:ascii="方正仿宋_GBK" w:hAnsi="方正仿宋_GBK" w:eastAsia="方正仿宋_GBK" w:cs="方正仿宋_GBK"/>
          <w:color w:val="auto"/>
          <w:sz w:val="32"/>
          <w:szCs w:val="32"/>
        </w:rPr>
        <w:t>%，主要原因是</w:t>
      </w:r>
      <w:r>
        <w:rPr>
          <w:rFonts w:hint="eastAsia" w:ascii="方正仿宋_GBK" w:hAnsi="方正仿宋_GBK" w:eastAsia="方正仿宋_GBK" w:cs="方正仿宋_GBK"/>
          <w:color w:val="auto"/>
          <w:sz w:val="32"/>
          <w:szCs w:val="32"/>
          <w:lang w:eastAsia="zh-CN"/>
        </w:rPr>
        <w:t>调减养老保险金，因为</w:t>
      </w:r>
      <w:r>
        <w:rPr>
          <w:rFonts w:hint="eastAsia" w:ascii="方正仿宋_GBK" w:hAnsi="方正仿宋_GBK" w:eastAsia="方正仿宋_GBK" w:cs="方正仿宋_GBK"/>
          <w:color w:val="auto"/>
          <w:sz w:val="32"/>
          <w:szCs w:val="32"/>
          <w:lang w:val="en-US" w:eastAsia="zh-CN"/>
        </w:rPr>
        <w:t>本单位2020年1月退休1名职工，2月调出1名职工</w:t>
      </w:r>
      <w:r>
        <w:rPr>
          <w:rFonts w:hint="eastAsia" w:ascii="方正仿宋_GBK" w:hAnsi="方正仿宋_GBK" w:eastAsia="方正仿宋_GBK" w:cs="方正仿宋_GBK"/>
          <w:color w:val="auto"/>
          <w:sz w:val="32"/>
          <w:szCs w:val="32"/>
        </w:rPr>
        <w:t>。</w:t>
      </w:r>
    </w:p>
    <w:p>
      <w:pPr>
        <w:pStyle w:val="5"/>
        <w:shd w:val="clear" w:color="auto" w:fill="FFFFFF"/>
        <w:spacing w:before="0" w:beforeAutospacing="0" w:after="0" w:afterAutospacing="0" w:line="560" w:lineRule="exact"/>
        <w:ind w:firstLine="640" w:firstLineChars="200"/>
        <w:jc w:val="both"/>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w:t>
      </w:r>
      <w:r>
        <w:rPr>
          <w:rFonts w:hint="eastAsia" w:ascii="方正仿宋_GBK" w:hAnsi="方正仿宋_GBK" w:eastAsia="方正仿宋_GBK" w:cs="方正仿宋_GBK"/>
          <w:color w:val="auto"/>
          <w:sz w:val="32"/>
          <w:szCs w:val="32"/>
          <w:lang w:val="en-US" w:eastAsia="zh-CN"/>
        </w:rPr>
        <w:t>2</w:t>
      </w:r>
      <w:r>
        <w:rPr>
          <w:rFonts w:hint="eastAsia" w:ascii="方正仿宋_GBK" w:hAnsi="方正仿宋_GBK" w:eastAsia="方正仿宋_GBK" w:cs="方正仿宋_GBK"/>
          <w:color w:val="auto"/>
          <w:sz w:val="32"/>
          <w:szCs w:val="32"/>
        </w:rPr>
        <w:t>）卫生健康支出</w:t>
      </w:r>
      <w:r>
        <w:rPr>
          <w:rFonts w:hint="eastAsia" w:ascii="方正仿宋_GBK" w:hAnsi="方正仿宋_GBK" w:eastAsia="方正仿宋_GBK" w:cs="方正仿宋_GBK"/>
          <w:color w:val="auto"/>
          <w:sz w:val="32"/>
          <w:szCs w:val="32"/>
          <w:lang w:val="en-US" w:eastAsia="zh-CN"/>
        </w:rPr>
        <w:t>995.63</w:t>
      </w:r>
      <w:r>
        <w:rPr>
          <w:rFonts w:hint="eastAsia" w:ascii="方正仿宋_GBK" w:hAnsi="方正仿宋_GBK" w:eastAsia="方正仿宋_GBK" w:cs="方正仿宋_GBK"/>
          <w:color w:val="auto"/>
          <w:sz w:val="32"/>
          <w:szCs w:val="32"/>
        </w:rPr>
        <w:t>万元，占</w:t>
      </w:r>
      <w:r>
        <w:rPr>
          <w:rFonts w:hint="eastAsia" w:ascii="方正仿宋_GBK" w:hAnsi="方正仿宋_GBK" w:eastAsia="方正仿宋_GBK" w:cs="方正仿宋_GBK"/>
          <w:color w:val="auto"/>
          <w:sz w:val="32"/>
          <w:szCs w:val="32"/>
          <w:lang w:val="en-US" w:eastAsia="zh-CN"/>
        </w:rPr>
        <w:t>91.67</w:t>
      </w:r>
      <w:r>
        <w:rPr>
          <w:rFonts w:hint="eastAsia" w:ascii="方正仿宋_GBK" w:hAnsi="方正仿宋_GBK" w:eastAsia="方正仿宋_GBK" w:cs="方正仿宋_GBK"/>
          <w:color w:val="auto"/>
          <w:sz w:val="32"/>
          <w:szCs w:val="32"/>
        </w:rPr>
        <w:t>%，较年初预算数</w:t>
      </w:r>
      <w:r>
        <w:rPr>
          <w:rFonts w:hint="eastAsia" w:ascii="方正仿宋_GBK" w:hAnsi="方正仿宋_GBK" w:eastAsia="方正仿宋_GBK" w:cs="方正仿宋_GBK"/>
          <w:color w:val="auto"/>
          <w:sz w:val="32"/>
          <w:szCs w:val="32"/>
          <w:lang w:val="en-US" w:eastAsia="zh-CN"/>
        </w:rPr>
        <w:t>380.43万元</w:t>
      </w:r>
      <w:r>
        <w:rPr>
          <w:rFonts w:hint="eastAsia" w:ascii="方正仿宋_GBK" w:hAnsi="方正仿宋_GBK" w:eastAsia="方正仿宋_GBK" w:cs="方正仿宋_GBK"/>
          <w:color w:val="auto"/>
          <w:sz w:val="32"/>
          <w:szCs w:val="32"/>
        </w:rPr>
        <w:t>增加</w:t>
      </w:r>
      <w:r>
        <w:rPr>
          <w:rFonts w:hint="eastAsia" w:ascii="方正仿宋_GBK" w:hAnsi="方正仿宋_GBK" w:eastAsia="方正仿宋_GBK" w:cs="方正仿宋_GBK"/>
          <w:color w:val="auto"/>
          <w:sz w:val="32"/>
          <w:szCs w:val="32"/>
          <w:lang w:val="en-US" w:eastAsia="zh-CN"/>
        </w:rPr>
        <w:t>615.2</w:t>
      </w:r>
      <w:r>
        <w:rPr>
          <w:rFonts w:hint="eastAsia" w:ascii="方正仿宋_GBK" w:hAnsi="方正仿宋_GBK" w:eastAsia="方正仿宋_GBK" w:cs="方正仿宋_GBK"/>
          <w:color w:val="auto"/>
          <w:sz w:val="32"/>
          <w:szCs w:val="32"/>
        </w:rPr>
        <w:t>万元，增长</w:t>
      </w:r>
      <w:r>
        <w:rPr>
          <w:rFonts w:hint="eastAsia" w:ascii="方正仿宋_GBK" w:hAnsi="方正仿宋_GBK" w:eastAsia="方正仿宋_GBK" w:cs="方正仿宋_GBK"/>
          <w:color w:val="auto"/>
          <w:sz w:val="32"/>
          <w:szCs w:val="32"/>
          <w:lang w:val="en-US" w:eastAsia="zh-CN"/>
        </w:rPr>
        <w:t>161.71</w:t>
      </w:r>
      <w:r>
        <w:rPr>
          <w:rFonts w:hint="eastAsia" w:ascii="方正仿宋_GBK" w:hAnsi="方正仿宋_GBK" w:eastAsia="方正仿宋_GBK" w:cs="方正仿宋_GBK"/>
          <w:color w:val="auto"/>
          <w:sz w:val="32"/>
          <w:szCs w:val="32"/>
        </w:rPr>
        <w:t>%，主要原因是</w:t>
      </w:r>
      <w:r>
        <w:rPr>
          <w:rFonts w:hint="eastAsia" w:ascii="方正仿宋_GBK" w:hAnsi="方正仿宋_GBK" w:eastAsia="方正仿宋_GBK" w:cs="方正仿宋_GBK"/>
          <w:color w:val="auto"/>
          <w:sz w:val="32"/>
          <w:szCs w:val="32"/>
          <w:lang w:eastAsia="zh-CN"/>
        </w:rPr>
        <w:t>追加项目补助预算支出经费</w:t>
      </w:r>
      <w:r>
        <w:rPr>
          <w:rFonts w:hint="eastAsia" w:ascii="方正仿宋_GBK" w:hAnsi="方正仿宋_GBK" w:eastAsia="方正仿宋_GBK" w:cs="方正仿宋_GBK"/>
          <w:color w:val="auto"/>
          <w:sz w:val="32"/>
          <w:szCs w:val="32"/>
        </w:rPr>
        <w:t>。</w:t>
      </w:r>
    </w:p>
    <w:p>
      <w:pPr>
        <w:pStyle w:val="5"/>
        <w:shd w:val="clear" w:color="auto" w:fill="FFFFFF"/>
        <w:spacing w:before="0" w:beforeAutospacing="0" w:after="0" w:afterAutospacing="0" w:line="560" w:lineRule="exact"/>
        <w:ind w:firstLine="640" w:firstLineChars="200"/>
        <w:jc w:val="both"/>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w:t>
      </w:r>
      <w:r>
        <w:rPr>
          <w:rFonts w:hint="eastAsia" w:ascii="方正仿宋_GBK" w:hAnsi="方正仿宋_GBK" w:eastAsia="方正仿宋_GBK" w:cs="方正仿宋_GBK"/>
          <w:color w:val="auto"/>
          <w:sz w:val="32"/>
          <w:szCs w:val="32"/>
          <w:lang w:val="en-US" w:eastAsia="zh-CN"/>
        </w:rPr>
        <w:t>3</w:t>
      </w:r>
      <w:r>
        <w:rPr>
          <w:rFonts w:hint="eastAsia" w:ascii="方正仿宋_GBK" w:hAnsi="方正仿宋_GBK" w:eastAsia="方正仿宋_GBK" w:cs="方正仿宋_GBK"/>
          <w:color w:val="auto"/>
          <w:sz w:val="32"/>
          <w:szCs w:val="32"/>
        </w:rPr>
        <w:t>）住房保障支出</w:t>
      </w:r>
      <w:r>
        <w:rPr>
          <w:rFonts w:hint="eastAsia" w:ascii="方正仿宋_GBK" w:hAnsi="方正仿宋_GBK" w:eastAsia="方正仿宋_GBK" w:cs="方正仿宋_GBK"/>
          <w:color w:val="auto"/>
          <w:sz w:val="32"/>
          <w:szCs w:val="32"/>
          <w:lang w:val="en-US" w:eastAsia="zh-CN"/>
        </w:rPr>
        <w:t>33.98</w:t>
      </w:r>
      <w:r>
        <w:rPr>
          <w:rFonts w:hint="eastAsia" w:ascii="方正仿宋_GBK" w:hAnsi="方正仿宋_GBK" w:eastAsia="方正仿宋_GBK" w:cs="方正仿宋_GBK"/>
          <w:color w:val="auto"/>
          <w:sz w:val="32"/>
          <w:szCs w:val="32"/>
        </w:rPr>
        <w:t>万元，占</w:t>
      </w:r>
      <w:r>
        <w:rPr>
          <w:rFonts w:hint="eastAsia" w:ascii="方正仿宋_GBK" w:hAnsi="方正仿宋_GBK" w:eastAsia="方正仿宋_GBK" w:cs="方正仿宋_GBK"/>
          <w:color w:val="auto"/>
          <w:sz w:val="32"/>
          <w:szCs w:val="32"/>
          <w:lang w:val="en-US" w:eastAsia="zh-CN"/>
        </w:rPr>
        <w:t>3.13</w:t>
      </w:r>
      <w:r>
        <w:rPr>
          <w:rFonts w:hint="eastAsia" w:ascii="方正仿宋_GBK" w:hAnsi="方正仿宋_GBK" w:eastAsia="方正仿宋_GBK" w:cs="方正仿宋_GBK"/>
          <w:color w:val="auto"/>
          <w:sz w:val="32"/>
          <w:szCs w:val="32"/>
        </w:rPr>
        <w:t xml:space="preserve">%，较年初预算数增加或减少 </w:t>
      </w:r>
      <w:r>
        <w:rPr>
          <w:rFonts w:hint="eastAsia" w:ascii="方正仿宋_GBK" w:hAnsi="方正仿宋_GBK" w:eastAsia="方正仿宋_GBK" w:cs="方正仿宋_GBK"/>
          <w:color w:val="auto"/>
          <w:sz w:val="32"/>
          <w:szCs w:val="32"/>
          <w:lang w:val="en-US" w:eastAsia="zh-CN"/>
        </w:rPr>
        <w:t>0</w:t>
      </w:r>
      <w:r>
        <w:rPr>
          <w:rFonts w:hint="eastAsia" w:ascii="方正仿宋_GBK" w:hAnsi="方正仿宋_GBK" w:eastAsia="方正仿宋_GBK" w:cs="方正仿宋_GBK"/>
          <w:color w:val="auto"/>
          <w:sz w:val="32"/>
          <w:szCs w:val="32"/>
        </w:rPr>
        <w:t xml:space="preserve">万元，增长或下降 </w:t>
      </w:r>
      <w:r>
        <w:rPr>
          <w:rFonts w:hint="eastAsia" w:ascii="方正仿宋_GBK" w:hAnsi="方正仿宋_GBK" w:eastAsia="方正仿宋_GBK" w:cs="方正仿宋_GBK"/>
          <w:color w:val="auto"/>
          <w:sz w:val="32"/>
          <w:szCs w:val="32"/>
          <w:lang w:val="en-US" w:eastAsia="zh-CN"/>
        </w:rPr>
        <w:t>0</w:t>
      </w:r>
      <w:r>
        <w:rPr>
          <w:rFonts w:hint="eastAsia" w:ascii="方正仿宋_GBK" w:hAnsi="方正仿宋_GBK" w:eastAsia="方正仿宋_GBK" w:cs="方正仿宋_GBK"/>
          <w:color w:val="auto"/>
          <w:sz w:val="32"/>
          <w:szCs w:val="32"/>
        </w:rPr>
        <w:t>%。</w:t>
      </w:r>
    </w:p>
    <w:p>
      <w:pPr>
        <w:pStyle w:val="5"/>
        <w:shd w:val="clear" w:color="auto" w:fill="FFFFFF"/>
        <w:spacing w:before="0" w:beforeAutospacing="0" w:after="0" w:afterAutospacing="0" w:line="560" w:lineRule="exact"/>
        <w:ind w:firstLine="643" w:firstLineChars="200"/>
        <w:jc w:val="both"/>
        <w:outlineLvl w:val="0"/>
        <w:rPr>
          <w:rFonts w:hint="eastAsia" w:ascii="方正仿宋_GBK" w:hAnsi="方正仿宋_GBK" w:eastAsia="方正仿宋_GBK" w:cs="方正仿宋_GBK"/>
          <w:sz w:val="32"/>
          <w:szCs w:val="32"/>
        </w:rPr>
      </w:pPr>
      <w:r>
        <w:rPr>
          <w:rStyle w:val="8"/>
          <w:rFonts w:hint="eastAsia" w:ascii="方正仿宋_GBK" w:hAnsi="方正仿宋_GBK" w:eastAsia="方正仿宋_GBK" w:cs="方正仿宋_GBK"/>
          <w:sz w:val="32"/>
          <w:szCs w:val="32"/>
        </w:rPr>
        <w:t>（四）一般公共预算财政拨款基本支出决算情况说明</w:t>
      </w:r>
    </w:p>
    <w:p>
      <w:pPr>
        <w:pStyle w:val="5"/>
        <w:shd w:val="clear" w:color="auto" w:fill="FFFFFF"/>
        <w:spacing w:before="0" w:beforeAutospacing="0" w:after="0" w:afterAutospacing="0" w:line="560" w:lineRule="exact"/>
        <w:ind w:firstLine="640" w:firstLineChars="200"/>
        <w:jc w:val="both"/>
        <w:rPr>
          <w:rFonts w:hint="eastAsia" w:ascii="方正仿宋_GBK" w:hAnsi="方正仿宋_GBK" w:eastAsia="方正仿宋_GBK" w:cs="方正仿宋_GBK"/>
          <w:sz w:val="32"/>
          <w:szCs w:val="32"/>
        </w:rPr>
      </w:pPr>
      <w:r>
        <w:rPr>
          <w:rFonts w:hint="eastAsia" w:ascii="方正仿宋_GBK" w:hAnsi="方正仿宋_GBK" w:eastAsia="方正仿宋_GBK" w:cs="方正仿宋_GBK"/>
          <w:color w:val="auto"/>
          <w:sz w:val="32"/>
          <w:szCs w:val="32"/>
        </w:rPr>
        <w:t>2020年度一般公共财政拨款基本支出</w:t>
      </w:r>
      <w:r>
        <w:rPr>
          <w:rFonts w:hint="eastAsia" w:ascii="方正仿宋_GBK" w:hAnsi="方正仿宋_GBK" w:eastAsia="方正仿宋_GBK" w:cs="方正仿宋_GBK"/>
          <w:color w:val="auto"/>
          <w:sz w:val="32"/>
          <w:szCs w:val="32"/>
          <w:lang w:val="en-US" w:eastAsia="zh-CN"/>
        </w:rPr>
        <w:t>1086.05</w:t>
      </w:r>
      <w:r>
        <w:rPr>
          <w:rFonts w:hint="eastAsia" w:ascii="方正仿宋_GBK" w:hAnsi="方正仿宋_GBK" w:eastAsia="方正仿宋_GBK" w:cs="方正仿宋_GBK"/>
          <w:color w:val="auto"/>
          <w:sz w:val="32"/>
          <w:szCs w:val="32"/>
        </w:rPr>
        <w:t>万元。其中：人员经费</w:t>
      </w:r>
      <w:r>
        <w:rPr>
          <w:rFonts w:hint="eastAsia" w:ascii="方正仿宋_GBK" w:hAnsi="方正仿宋_GBK" w:eastAsia="方正仿宋_GBK" w:cs="方正仿宋_GBK"/>
          <w:color w:val="auto"/>
          <w:sz w:val="32"/>
          <w:szCs w:val="32"/>
          <w:lang w:val="en-US" w:eastAsia="zh-CN"/>
        </w:rPr>
        <w:t>402.79</w:t>
      </w:r>
      <w:r>
        <w:rPr>
          <w:rFonts w:hint="eastAsia" w:ascii="方正仿宋_GBK" w:hAnsi="方正仿宋_GBK" w:eastAsia="方正仿宋_GBK" w:cs="方正仿宋_GBK"/>
          <w:color w:val="auto"/>
          <w:sz w:val="32"/>
          <w:szCs w:val="32"/>
        </w:rPr>
        <w:t xml:space="preserve">万元，较上年决算数增加或减少 </w:t>
      </w:r>
      <w:r>
        <w:rPr>
          <w:rFonts w:hint="eastAsia" w:ascii="方正仿宋_GBK" w:hAnsi="方正仿宋_GBK" w:eastAsia="方正仿宋_GBK" w:cs="方正仿宋_GBK"/>
          <w:color w:val="auto"/>
          <w:sz w:val="32"/>
          <w:szCs w:val="32"/>
          <w:lang w:val="en-US" w:eastAsia="zh-CN"/>
        </w:rPr>
        <w:t>0</w:t>
      </w:r>
      <w:r>
        <w:rPr>
          <w:rFonts w:hint="eastAsia" w:ascii="方正仿宋_GBK" w:hAnsi="方正仿宋_GBK" w:eastAsia="方正仿宋_GBK" w:cs="方正仿宋_GBK"/>
          <w:color w:val="auto"/>
          <w:sz w:val="32"/>
          <w:szCs w:val="32"/>
        </w:rPr>
        <w:t xml:space="preserve">万元，增长或下降 </w:t>
      </w:r>
      <w:r>
        <w:rPr>
          <w:rFonts w:hint="eastAsia" w:ascii="方正仿宋_GBK" w:hAnsi="方正仿宋_GBK" w:eastAsia="方正仿宋_GBK" w:cs="方正仿宋_GBK"/>
          <w:color w:val="auto"/>
          <w:sz w:val="32"/>
          <w:szCs w:val="32"/>
          <w:lang w:val="en-US" w:eastAsia="zh-CN"/>
        </w:rPr>
        <w:t>0</w:t>
      </w:r>
      <w:r>
        <w:rPr>
          <w:rFonts w:hint="eastAsia" w:ascii="方正仿宋_GBK" w:hAnsi="方正仿宋_GBK" w:eastAsia="方正仿宋_GBK" w:cs="方正仿宋_GBK"/>
          <w:color w:val="auto"/>
          <w:sz w:val="32"/>
          <w:szCs w:val="32"/>
        </w:rPr>
        <w:t>%，主要原因是</w:t>
      </w:r>
      <w:r>
        <w:rPr>
          <w:rFonts w:hint="eastAsia" w:ascii="方正仿宋_GBK" w:hAnsi="方正仿宋_GBK" w:eastAsia="方正仿宋_GBK" w:cs="方正仿宋_GBK"/>
          <w:color w:val="auto"/>
          <w:sz w:val="32"/>
          <w:szCs w:val="32"/>
          <w:lang w:val="en-US" w:eastAsia="zh-CN"/>
        </w:rPr>
        <w:t>本单位2020年为新增单位</w:t>
      </w:r>
      <w:r>
        <w:rPr>
          <w:rFonts w:hint="eastAsia" w:ascii="方正仿宋_GBK" w:hAnsi="方正仿宋_GBK" w:eastAsia="方正仿宋_GBK" w:cs="方正仿宋_GBK"/>
          <w:color w:val="auto"/>
          <w:sz w:val="32"/>
          <w:szCs w:val="32"/>
        </w:rPr>
        <w:t>。人员经费用途主要</w:t>
      </w:r>
      <w:r>
        <w:rPr>
          <w:rFonts w:hint="eastAsia" w:ascii="方正仿宋_GBK" w:hAnsi="方正仿宋_GBK" w:eastAsia="方正仿宋_GBK" w:cs="方正仿宋_GBK"/>
          <w:color w:val="auto"/>
          <w:sz w:val="32"/>
          <w:szCs w:val="32"/>
          <w:lang w:eastAsia="zh-CN"/>
        </w:rPr>
        <w:t>包括基本工资</w:t>
      </w:r>
      <w:r>
        <w:rPr>
          <w:rFonts w:hint="eastAsia" w:ascii="方正仿宋_GBK" w:hAnsi="方正仿宋_GBK" w:eastAsia="方正仿宋_GBK" w:cs="方正仿宋_GBK"/>
          <w:color w:val="auto"/>
          <w:sz w:val="32"/>
          <w:szCs w:val="32"/>
          <w:lang w:val="en-US" w:eastAsia="zh-CN"/>
        </w:rPr>
        <w:t>134.15万元；津贴补贴10.75；绩效工资138.29万元；</w:t>
      </w:r>
      <w:r>
        <w:rPr>
          <w:rFonts w:hint="eastAsia" w:ascii="方正仿宋_GBK" w:hAnsi="方正仿宋_GBK" w:eastAsia="方正仿宋_GBK" w:cs="方正仿宋_GBK"/>
          <w:color w:val="auto"/>
          <w:sz w:val="32"/>
          <w:szCs w:val="32"/>
          <w:lang w:eastAsia="zh-CN"/>
        </w:rPr>
        <w:t>养老保险缴费支出</w:t>
      </w:r>
      <w:r>
        <w:rPr>
          <w:rFonts w:hint="eastAsia" w:ascii="方正仿宋_GBK" w:hAnsi="方正仿宋_GBK" w:eastAsia="方正仿宋_GBK" w:cs="方正仿宋_GBK"/>
          <w:color w:val="auto"/>
          <w:sz w:val="32"/>
          <w:szCs w:val="32"/>
          <w:lang w:val="en-US" w:eastAsia="zh-CN"/>
        </w:rPr>
        <w:t>33.78万元，职业年金缴费支出22.66万元；职工医疗保险支出28.32万元；工伤保险支出0.85万元；住房公积金33.98万元</w:t>
      </w:r>
      <w:r>
        <w:rPr>
          <w:rFonts w:hint="eastAsia" w:ascii="方正仿宋_GBK" w:hAnsi="方正仿宋_GBK" w:eastAsia="方正仿宋_GBK" w:cs="方正仿宋_GBK"/>
          <w:color w:val="auto"/>
          <w:sz w:val="32"/>
          <w:szCs w:val="32"/>
        </w:rPr>
        <w:t>。公用经费</w:t>
      </w:r>
      <w:r>
        <w:rPr>
          <w:rFonts w:hint="eastAsia" w:ascii="方正仿宋_GBK" w:hAnsi="方正仿宋_GBK" w:eastAsia="方正仿宋_GBK" w:cs="方正仿宋_GBK"/>
          <w:color w:val="auto"/>
          <w:sz w:val="32"/>
          <w:szCs w:val="32"/>
          <w:lang w:val="en-US" w:eastAsia="zh-CN"/>
        </w:rPr>
        <w:t>360.03</w:t>
      </w:r>
      <w:r>
        <w:rPr>
          <w:rFonts w:hint="eastAsia" w:ascii="方正仿宋_GBK" w:hAnsi="方正仿宋_GBK" w:eastAsia="方正仿宋_GBK" w:cs="方正仿宋_GBK"/>
          <w:color w:val="auto"/>
          <w:sz w:val="32"/>
          <w:szCs w:val="32"/>
        </w:rPr>
        <w:t>万元，较上年决算数增加或减少</w:t>
      </w:r>
      <w:r>
        <w:rPr>
          <w:rFonts w:hint="eastAsia" w:ascii="方正仿宋_GBK" w:hAnsi="方正仿宋_GBK" w:eastAsia="方正仿宋_GBK" w:cs="方正仿宋_GBK"/>
          <w:color w:val="auto"/>
          <w:sz w:val="32"/>
          <w:szCs w:val="32"/>
          <w:lang w:val="en-US" w:eastAsia="zh-CN"/>
        </w:rPr>
        <w:t>0</w:t>
      </w:r>
      <w:r>
        <w:rPr>
          <w:rFonts w:hint="eastAsia" w:ascii="方正仿宋_GBK" w:hAnsi="方正仿宋_GBK" w:eastAsia="方正仿宋_GBK" w:cs="方正仿宋_GBK"/>
          <w:color w:val="auto"/>
          <w:sz w:val="32"/>
          <w:szCs w:val="32"/>
        </w:rPr>
        <w:t xml:space="preserve">万元，增长或下降 </w:t>
      </w:r>
      <w:r>
        <w:rPr>
          <w:rFonts w:hint="eastAsia" w:ascii="方正仿宋_GBK" w:hAnsi="方正仿宋_GBK" w:eastAsia="方正仿宋_GBK" w:cs="方正仿宋_GBK"/>
          <w:color w:val="auto"/>
          <w:sz w:val="32"/>
          <w:szCs w:val="32"/>
          <w:lang w:val="en-US" w:eastAsia="zh-CN"/>
        </w:rPr>
        <w:t>0</w:t>
      </w:r>
      <w:r>
        <w:rPr>
          <w:rFonts w:hint="eastAsia" w:ascii="方正仿宋_GBK" w:hAnsi="方正仿宋_GBK" w:eastAsia="方正仿宋_GBK" w:cs="方正仿宋_GBK"/>
          <w:color w:val="auto"/>
          <w:sz w:val="32"/>
          <w:szCs w:val="32"/>
        </w:rPr>
        <w:t>%，主要原因是</w:t>
      </w:r>
      <w:r>
        <w:rPr>
          <w:rFonts w:hint="eastAsia" w:ascii="方正仿宋_GBK" w:hAnsi="方正仿宋_GBK" w:eastAsia="方正仿宋_GBK" w:cs="方正仿宋_GBK"/>
          <w:color w:val="auto"/>
          <w:sz w:val="32"/>
          <w:szCs w:val="32"/>
          <w:lang w:val="en-US" w:eastAsia="zh-CN"/>
        </w:rPr>
        <w:t>本单位2020年为新增单位。</w:t>
      </w:r>
      <w:r>
        <w:rPr>
          <w:rFonts w:hint="eastAsia" w:ascii="方正仿宋_GBK" w:hAnsi="方正仿宋_GBK" w:eastAsia="方正仿宋_GBK" w:cs="方正仿宋_GBK"/>
          <w:sz w:val="32"/>
          <w:szCs w:val="32"/>
        </w:rPr>
        <w:t>公用经费用途主要包括</w:t>
      </w:r>
      <w:r>
        <w:rPr>
          <w:rFonts w:hint="eastAsia" w:ascii="方正仿宋_GBK" w:hAnsi="方正仿宋_GBK" w:eastAsia="方正仿宋_GBK" w:cs="方正仿宋_GBK"/>
          <w:sz w:val="32"/>
          <w:szCs w:val="32"/>
          <w:lang w:eastAsia="zh-CN"/>
        </w:rPr>
        <w:t>办公费</w:t>
      </w:r>
      <w:r>
        <w:rPr>
          <w:rFonts w:hint="eastAsia" w:ascii="方正仿宋_GBK" w:hAnsi="方正仿宋_GBK" w:eastAsia="方正仿宋_GBK" w:cs="方正仿宋_GBK"/>
          <w:sz w:val="32"/>
          <w:szCs w:val="32"/>
          <w:lang w:val="en-US" w:eastAsia="zh-CN"/>
        </w:rPr>
        <w:t>1.09万元；水电费6.14万元；租赁费17.93万元；培训费13.18万元；专用材料费208.07万元；劳务费25.22万元；其他商品和服务支出88.07万元。</w:t>
      </w:r>
    </w:p>
    <w:p>
      <w:pPr>
        <w:pStyle w:val="5"/>
        <w:shd w:val="clear" w:color="auto" w:fill="FFFFFF"/>
        <w:spacing w:before="0" w:beforeAutospacing="0" w:after="0" w:afterAutospacing="0" w:line="560" w:lineRule="exact"/>
        <w:ind w:firstLine="643" w:firstLineChars="200"/>
        <w:jc w:val="both"/>
        <w:outlineLvl w:val="0"/>
        <w:rPr>
          <w:rStyle w:val="8"/>
          <w:rFonts w:hint="eastAsia" w:ascii="方正仿宋_GBK" w:hAnsi="方正仿宋_GBK" w:eastAsia="方正仿宋_GBK" w:cs="方正仿宋_GBK"/>
        </w:rPr>
      </w:pPr>
      <w:r>
        <w:rPr>
          <w:rStyle w:val="8"/>
          <w:rFonts w:hint="eastAsia" w:ascii="方正仿宋_GBK" w:hAnsi="方正仿宋_GBK" w:eastAsia="方正仿宋_GBK" w:cs="方正仿宋_GBK"/>
          <w:sz w:val="32"/>
          <w:szCs w:val="32"/>
        </w:rPr>
        <w:t>（五）政府性基金预算收支决算情况说明</w:t>
      </w:r>
    </w:p>
    <w:p>
      <w:pPr>
        <w:pStyle w:val="5"/>
        <w:shd w:val="clear" w:color="auto" w:fill="FFFFFF"/>
        <w:spacing w:before="0" w:beforeAutospacing="0" w:after="0" w:afterAutospacing="0" w:line="560" w:lineRule="exact"/>
        <w:ind w:firstLine="640" w:firstLineChars="200"/>
        <w:jc w:val="both"/>
        <w:rPr>
          <w:rFonts w:hint="eastAsia" w:ascii="方正仿宋_GBK" w:hAnsi="方正仿宋_GBK" w:eastAsia="方正仿宋_GBK" w:cs="方正仿宋_GBK"/>
          <w:color w:val="FF0000"/>
          <w:sz w:val="32"/>
          <w:szCs w:val="32"/>
        </w:rPr>
      </w:pPr>
      <w:r>
        <w:rPr>
          <w:rFonts w:hint="eastAsia" w:ascii="方正仿宋_GBK" w:hAnsi="方正仿宋_GBK" w:eastAsia="方正仿宋_GBK" w:cs="方正仿宋_GBK"/>
          <w:sz w:val="32"/>
          <w:szCs w:val="32"/>
        </w:rPr>
        <w:t>2020年度政府性基金预算财政拨款年初结转结余</w:t>
      </w:r>
      <w:r>
        <w:rPr>
          <w:rFonts w:hint="eastAsia" w:ascii="方正仿宋_GBK" w:hAnsi="方正仿宋_GBK" w:eastAsia="方正仿宋_GBK" w:cs="方正仿宋_GBK"/>
          <w:sz w:val="32"/>
          <w:szCs w:val="32"/>
          <w:lang w:val="en-US" w:eastAsia="zh-CN"/>
        </w:rPr>
        <w:t>0</w:t>
      </w:r>
      <w:r>
        <w:rPr>
          <w:rFonts w:hint="eastAsia" w:ascii="方正仿宋_GBK" w:hAnsi="方正仿宋_GBK" w:eastAsia="方正仿宋_GBK" w:cs="方正仿宋_GBK"/>
          <w:sz w:val="32"/>
          <w:szCs w:val="32"/>
        </w:rPr>
        <w:t>万元，年末</w:t>
      </w:r>
      <w:r>
        <w:rPr>
          <w:rFonts w:hint="eastAsia" w:ascii="方正仿宋_GBK" w:hAnsi="方正仿宋_GBK" w:eastAsia="方正仿宋_GBK" w:cs="方正仿宋_GBK"/>
          <w:color w:val="auto"/>
          <w:sz w:val="32"/>
          <w:szCs w:val="32"/>
        </w:rPr>
        <w:t>结转结余</w:t>
      </w:r>
      <w:r>
        <w:rPr>
          <w:rFonts w:hint="eastAsia" w:ascii="方正仿宋_GBK" w:hAnsi="方正仿宋_GBK" w:eastAsia="方正仿宋_GBK" w:cs="方正仿宋_GBK"/>
          <w:color w:val="auto"/>
          <w:sz w:val="32"/>
          <w:szCs w:val="32"/>
          <w:lang w:val="en-US" w:eastAsia="zh-CN"/>
        </w:rPr>
        <w:t>2959.76</w:t>
      </w:r>
      <w:r>
        <w:rPr>
          <w:rFonts w:hint="eastAsia" w:ascii="方正仿宋_GBK" w:hAnsi="方正仿宋_GBK" w:eastAsia="方正仿宋_GBK" w:cs="方正仿宋_GBK"/>
          <w:color w:val="auto"/>
          <w:sz w:val="32"/>
          <w:szCs w:val="32"/>
        </w:rPr>
        <w:t>万元。本年收入</w:t>
      </w:r>
      <w:r>
        <w:rPr>
          <w:rFonts w:hint="eastAsia" w:ascii="方正仿宋_GBK" w:hAnsi="方正仿宋_GBK" w:eastAsia="方正仿宋_GBK" w:cs="方正仿宋_GBK"/>
          <w:color w:val="auto"/>
          <w:sz w:val="32"/>
          <w:szCs w:val="32"/>
          <w:lang w:val="en-US" w:eastAsia="zh-CN"/>
        </w:rPr>
        <w:t>6800</w:t>
      </w:r>
      <w:r>
        <w:rPr>
          <w:rFonts w:hint="eastAsia" w:ascii="方正仿宋_GBK" w:hAnsi="方正仿宋_GBK" w:eastAsia="方正仿宋_GBK" w:cs="方正仿宋_GBK"/>
          <w:color w:val="auto"/>
          <w:sz w:val="32"/>
          <w:szCs w:val="32"/>
        </w:rPr>
        <w:t xml:space="preserve">万元，较上年决算数增加或减少 </w:t>
      </w:r>
      <w:r>
        <w:rPr>
          <w:rFonts w:hint="eastAsia" w:ascii="方正仿宋_GBK" w:hAnsi="方正仿宋_GBK" w:eastAsia="方正仿宋_GBK" w:cs="方正仿宋_GBK"/>
          <w:color w:val="auto"/>
          <w:sz w:val="32"/>
          <w:szCs w:val="32"/>
          <w:lang w:val="en-US" w:eastAsia="zh-CN"/>
        </w:rPr>
        <w:t>0</w:t>
      </w:r>
      <w:r>
        <w:rPr>
          <w:rFonts w:hint="eastAsia" w:ascii="方正仿宋_GBK" w:hAnsi="方正仿宋_GBK" w:eastAsia="方正仿宋_GBK" w:cs="方正仿宋_GBK"/>
          <w:color w:val="auto"/>
          <w:sz w:val="32"/>
          <w:szCs w:val="32"/>
        </w:rPr>
        <w:t xml:space="preserve">万元，增长或下降 </w:t>
      </w:r>
      <w:r>
        <w:rPr>
          <w:rFonts w:hint="eastAsia" w:ascii="方正仿宋_GBK" w:hAnsi="方正仿宋_GBK" w:eastAsia="方正仿宋_GBK" w:cs="方正仿宋_GBK"/>
          <w:color w:val="auto"/>
          <w:sz w:val="32"/>
          <w:szCs w:val="32"/>
          <w:lang w:val="en-US" w:eastAsia="zh-CN"/>
        </w:rPr>
        <w:t>0</w:t>
      </w:r>
      <w:r>
        <w:rPr>
          <w:rFonts w:hint="eastAsia" w:ascii="方正仿宋_GBK" w:hAnsi="方正仿宋_GBK" w:eastAsia="方正仿宋_GBK" w:cs="方正仿宋_GBK"/>
          <w:color w:val="auto"/>
          <w:sz w:val="32"/>
          <w:szCs w:val="32"/>
        </w:rPr>
        <w:t>%，主要原因是</w:t>
      </w:r>
      <w:r>
        <w:rPr>
          <w:rFonts w:hint="eastAsia" w:ascii="方正仿宋_GBK" w:hAnsi="方正仿宋_GBK" w:eastAsia="方正仿宋_GBK" w:cs="方正仿宋_GBK"/>
          <w:color w:val="auto"/>
          <w:sz w:val="32"/>
          <w:szCs w:val="32"/>
          <w:lang w:val="en-US" w:eastAsia="zh-CN"/>
        </w:rPr>
        <w:t>本单位2020年为新增单位</w:t>
      </w:r>
      <w:r>
        <w:rPr>
          <w:rFonts w:hint="eastAsia" w:ascii="方正仿宋_GBK" w:hAnsi="方正仿宋_GBK" w:eastAsia="方正仿宋_GBK" w:cs="方正仿宋_GBK"/>
          <w:color w:val="auto"/>
          <w:sz w:val="32"/>
          <w:szCs w:val="32"/>
        </w:rPr>
        <w:t>。本年支出</w:t>
      </w:r>
      <w:r>
        <w:rPr>
          <w:rFonts w:hint="eastAsia" w:ascii="方正仿宋_GBK" w:hAnsi="方正仿宋_GBK" w:eastAsia="方正仿宋_GBK" w:cs="方正仿宋_GBK"/>
          <w:color w:val="auto"/>
          <w:sz w:val="32"/>
          <w:szCs w:val="32"/>
          <w:lang w:val="en-US" w:eastAsia="zh-CN"/>
        </w:rPr>
        <w:t>3840.24</w:t>
      </w:r>
      <w:r>
        <w:rPr>
          <w:rFonts w:hint="eastAsia" w:ascii="方正仿宋_GBK" w:hAnsi="方正仿宋_GBK" w:eastAsia="方正仿宋_GBK" w:cs="方正仿宋_GBK"/>
          <w:color w:val="auto"/>
          <w:sz w:val="32"/>
          <w:szCs w:val="32"/>
        </w:rPr>
        <w:t xml:space="preserve">万元，较上年决算数增加或减少 </w:t>
      </w:r>
      <w:r>
        <w:rPr>
          <w:rFonts w:hint="eastAsia" w:ascii="方正仿宋_GBK" w:hAnsi="方正仿宋_GBK" w:eastAsia="方正仿宋_GBK" w:cs="方正仿宋_GBK"/>
          <w:color w:val="auto"/>
          <w:sz w:val="32"/>
          <w:szCs w:val="32"/>
          <w:lang w:val="en-US" w:eastAsia="zh-CN"/>
        </w:rPr>
        <w:t>0</w:t>
      </w:r>
      <w:r>
        <w:rPr>
          <w:rFonts w:hint="eastAsia" w:ascii="方正仿宋_GBK" w:hAnsi="方正仿宋_GBK" w:eastAsia="方正仿宋_GBK" w:cs="方正仿宋_GBK"/>
          <w:color w:val="auto"/>
          <w:sz w:val="32"/>
          <w:szCs w:val="32"/>
        </w:rPr>
        <w:t xml:space="preserve">万元，增长或下降 </w:t>
      </w:r>
      <w:r>
        <w:rPr>
          <w:rFonts w:hint="eastAsia" w:ascii="方正仿宋_GBK" w:hAnsi="方正仿宋_GBK" w:eastAsia="方正仿宋_GBK" w:cs="方正仿宋_GBK"/>
          <w:color w:val="auto"/>
          <w:sz w:val="32"/>
          <w:szCs w:val="32"/>
          <w:lang w:val="en-US" w:eastAsia="zh-CN"/>
        </w:rPr>
        <w:t>0</w:t>
      </w:r>
      <w:r>
        <w:rPr>
          <w:rFonts w:hint="eastAsia" w:ascii="方正仿宋_GBK" w:hAnsi="方正仿宋_GBK" w:eastAsia="方正仿宋_GBK" w:cs="方正仿宋_GBK"/>
          <w:color w:val="auto"/>
          <w:sz w:val="32"/>
          <w:szCs w:val="32"/>
        </w:rPr>
        <w:t>%，主</w:t>
      </w:r>
      <w:r>
        <w:rPr>
          <w:rFonts w:hint="eastAsia" w:ascii="方正仿宋_GBK" w:hAnsi="方正仿宋_GBK" w:eastAsia="方正仿宋_GBK" w:cs="方正仿宋_GBK"/>
          <w:sz w:val="32"/>
          <w:szCs w:val="32"/>
        </w:rPr>
        <w:t>要原因是</w:t>
      </w:r>
      <w:r>
        <w:rPr>
          <w:rFonts w:hint="eastAsia" w:ascii="方正仿宋_GBK" w:hAnsi="方正仿宋_GBK" w:eastAsia="方正仿宋_GBK" w:cs="方正仿宋_GBK"/>
          <w:color w:val="auto"/>
          <w:sz w:val="32"/>
          <w:szCs w:val="32"/>
          <w:lang w:val="en-US" w:eastAsia="zh-CN"/>
        </w:rPr>
        <w:t>本单位2020年为新增单位。</w:t>
      </w:r>
    </w:p>
    <w:p>
      <w:pPr>
        <w:pStyle w:val="5"/>
        <w:shd w:val="clear" w:color="auto" w:fill="FFFFFF"/>
        <w:spacing w:before="0" w:beforeAutospacing="0" w:after="0" w:afterAutospacing="0" w:line="560" w:lineRule="exact"/>
        <w:ind w:firstLine="643" w:firstLineChars="200"/>
        <w:jc w:val="both"/>
        <w:outlineLvl w:val="0"/>
        <w:rPr>
          <w:rStyle w:val="8"/>
          <w:rFonts w:hint="eastAsia" w:ascii="方正仿宋_GBK" w:hAnsi="方正仿宋_GBK" w:eastAsia="方正仿宋_GBK" w:cs="方正仿宋_GBK"/>
        </w:rPr>
      </w:pPr>
      <w:r>
        <w:rPr>
          <w:rStyle w:val="8"/>
          <w:rFonts w:hint="eastAsia" w:ascii="方正仿宋_GBK" w:hAnsi="方正仿宋_GBK" w:eastAsia="方正仿宋_GBK" w:cs="方正仿宋_GBK"/>
          <w:sz w:val="32"/>
          <w:szCs w:val="32"/>
        </w:rPr>
        <w:t>（六）国有资本经营预算财政拨款支出决算情况说明</w:t>
      </w:r>
    </w:p>
    <w:p>
      <w:pPr>
        <w:pStyle w:val="5"/>
        <w:shd w:val="clear" w:color="auto" w:fill="FFFFFF"/>
        <w:spacing w:before="0" w:beforeAutospacing="0" w:after="0" w:afterAutospacing="0" w:line="560" w:lineRule="exact"/>
        <w:ind w:firstLine="643" w:firstLineChars="200"/>
        <w:jc w:val="both"/>
        <w:rPr>
          <w:rFonts w:hint="eastAsia" w:ascii="方正仿宋_GBK" w:hAnsi="方正仿宋_GBK" w:eastAsia="方正仿宋_GBK" w:cs="方正仿宋_GBK"/>
          <w:bCs/>
          <w:sz w:val="32"/>
          <w:szCs w:val="32"/>
          <w:highlight w:val="none"/>
        </w:rPr>
      </w:pPr>
      <w:r>
        <w:rPr>
          <w:rFonts w:hint="eastAsia" w:ascii="方正仿宋_GBK" w:hAnsi="方正仿宋_GBK" w:eastAsia="方正仿宋_GBK" w:cs="方正仿宋_GBK"/>
          <w:b/>
          <w:sz w:val="32"/>
          <w:szCs w:val="32"/>
          <w:highlight w:val="none"/>
        </w:rPr>
        <w:t>本</w:t>
      </w:r>
      <w:r>
        <w:rPr>
          <w:rFonts w:hint="eastAsia" w:ascii="方正仿宋_GBK" w:hAnsi="方正仿宋_GBK" w:eastAsia="方正仿宋_GBK" w:cs="方正仿宋_GBK"/>
          <w:b/>
          <w:sz w:val="32"/>
          <w:szCs w:val="32"/>
          <w:highlight w:val="none"/>
          <w:lang w:eastAsia="zh-CN"/>
        </w:rPr>
        <w:t>单位</w:t>
      </w:r>
      <w:r>
        <w:rPr>
          <w:rFonts w:hint="eastAsia" w:ascii="方正仿宋_GBK" w:hAnsi="方正仿宋_GBK" w:eastAsia="方正仿宋_GBK" w:cs="方正仿宋_GBK"/>
          <w:b/>
          <w:sz w:val="32"/>
          <w:szCs w:val="32"/>
          <w:highlight w:val="none"/>
        </w:rPr>
        <w:t>2020年度无国有资本经营预算财政拨款支出。</w:t>
      </w:r>
    </w:p>
    <w:p>
      <w:pPr>
        <w:pStyle w:val="5"/>
        <w:keepNext w:val="0"/>
        <w:keepLines w:val="0"/>
        <w:pageBreakBefore w:val="0"/>
        <w:widowControl/>
        <w:numPr>
          <w:ilvl w:val="0"/>
          <w:numId w:val="1"/>
        </w:numPr>
        <w:shd w:val="clear" w:color="auto" w:fill="FFFFFF"/>
        <w:kinsoku/>
        <w:wordWrap/>
        <w:overflowPunct/>
        <w:topLinePunct w:val="0"/>
        <w:autoSpaceDE/>
        <w:autoSpaceDN/>
        <w:bidi w:val="0"/>
        <w:adjustRightInd/>
        <w:snapToGrid/>
        <w:spacing w:before="0" w:beforeAutospacing="0" w:after="0" w:afterAutospacing="0" w:line="560" w:lineRule="exact"/>
        <w:ind w:left="480" w:leftChars="0" w:firstLine="0" w:firstLineChars="0"/>
        <w:jc w:val="lef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“三公”经费情况说明</w:t>
      </w:r>
    </w:p>
    <w:p>
      <w:pPr>
        <w:pStyle w:val="5"/>
        <w:keepNext w:val="0"/>
        <w:keepLines w:val="0"/>
        <w:pageBreakBefore w:val="0"/>
        <w:widowControl/>
        <w:numPr>
          <w:ilvl w:val="0"/>
          <w:numId w:val="1"/>
        </w:numPr>
        <w:shd w:val="clear" w:color="auto" w:fill="FFFFFF"/>
        <w:kinsoku/>
        <w:wordWrap/>
        <w:overflowPunct/>
        <w:topLinePunct w:val="0"/>
        <w:autoSpaceDE/>
        <w:autoSpaceDN/>
        <w:bidi w:val="0"/>
        <w:adjustRightInd/>
        <w:snapToGrid/>
        <w:spacing w:before="0" w:beforeAutospacing="0" w:after="0" w:afterAutospacing="0" w:line="560" w:lineRule="exact"/>
        <w:ind w:left="480" w:leftChars="0" w:firstLine="0" w:firstLineChars="0"/>
        <w:jc w:val="lef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（一）“三公”经费支出总体情况说明</w:t>
      </w:r>
    </w:p>
    <w:p>
      <w:pPr>
        <w:pStyle w:val="5"/>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0" w:beforeAutospacing="0" w:after="0" w:afterAutospacing="0" w:line="560" w:lineRule="exact"/>
        <w:ind w:leftChars="0" w:firstLine="640" w:firstLineChars="200"/>
        <w:jc w:val="left"/>
        <w:textAlignment w:val="auto"/>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rPr>
        <w:t>财政未保障我单位“三公”经费, 无年初预算，也无发生额。</w:t>
      </w:r>
    </w:p>
    <w:p>
      <w:pPr>
        <w:pStyle w:val="5"/>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0" w:beforeAutospacing="0" w:after="0" w:afterAutospacing="0" w:line="560" w:lineRule="exact"/>
        <w:ind w:leftChars="0" w:firstLine="640" w:firstLineChars="200"/>
        <w:jc w:val="left"/>
        <w:textAlignment w:val="auto"/>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（二）“三公”经费分项支出情况</w:t>
      </w:r>
    </w:p>
    <w:p>
      <w:pPr>
        <w:pStyle w:val="5"/>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0" w:beforeAutospacing="0" w:after="0" w:afterAutospacing="0" w:line="560" w:lineRule="exact"/>
        <w:ind w:leftChars="0" w:firstLine="640" w:firstLineChars="200"/>
        <w:jc w:val="left"/>
        <w:textAlignment w:val="auto"/>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2020年度本单位因公出国（境）费用0.00万元。无年初预算，也无发生额。</w:t>
      </w:r>
    </w:p>
    <w:p>
      <w:pPr>
        <w:pStyle w:val="5"/>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0" w:beforeAutospacing="0" w:after="0" w:afterAutospacing="0" w:line="560" w:lineRule="exact"/>
        <w:ind w:leftChars="0" w:firstLine="640" w:firstLineChars="200"/>
        <w:jc w:val="left"/>
        <w:textAlignment w:val="auto"/>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2020年度本单位公务车购置费0.00万元，无年初预算，也无发生额。</w:t>
      </w:r>
    </w:p>
    <w:p>
      <w:pPr>
        <w:pStyle w:val="5"/>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0" w:beforeAutospacing="0" w:after="0" w:afterAutospacing="0" w:line="560" w:lineRule="exact"/>
        <w:ind w:leftChars="0" w:firstLine="640" w:firstLineChars="200"/>
        <w:jc w:val="left"/>
        <w:textAlignment w:val="auto"/>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2020年度本单位公务车运行维护费0.00万元，无年初预算，也无发生额。</w:t>
      </w:r>
    </w:p>
    <w:p>
      <w:pPr>
        <w:pStyle w:val="5"/>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0" w:beforeAutospacing="0" w:after="0" w:afterAutospacing="0" w:line="560" w:lineRule="exact"/>
        <w:ind w:leftChars="0" w:firstLine="640" w:firstLineChars="200"/>
        <w:jc w:val="left"/>
        <w:textAlignment w:val="auto"/>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2020年度本单位公务接待费0.00万元，无年初预算，也无发生额。</w:t>
      </w:r>
    </w:p>
    <w:p>
      <w:pPr>
        <w:pStyle w:val="5"/>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0" w:beforeAutospacing="0" w:after="0" w:afterAutospacing="0" w:line="560" w:lineRule="exact"/>
        <w:ind w:leftChars="0" w:firstLine="640" w:firstLineChars="200"/>
        <w:jc w:val="left"/>
        <w:textAlignment w:val="auto"/>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（三）“三公”经费实物量情况</w:t>
      </w:r>
    </w:p>
    <w:p>
      <w:pPr>
        <w:pStyle w:val="5"/>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0" w:beforeAutospacing="0" w:after="0" w:afterAutospacing="0" w:line="560" w:lineRule="exact"/>
        <w:ind w:leftChars="0" w:firstLine="640" w:firstLineChars="200"/>
        <w:jc w:val="lef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rPr>
        <w:t>2020年度本部门因公出国（境）共计0个团组，0人；公务用车购置0辆，公务车保有量为0辆；国内公务接待0批次0人，其中：国内外 事接待0批次，0人；国（境）外公务接待0批次，0人。2020年本部门人均接待费0.00元，车均购置费0.00万元，车均维护费0.00万元。</w:t>
      </w:r>
    </w:p>
    <w:p>
      <w:pPr>
        <w:pStyle w:val="5"/>
        <w:shd w:val="clear" w:color="auto" w:fill="FFFFFF"/>
        <w:spacing w:before="0" w:beforeAutospacing="0" w:after="0" w:afterAutospacing="0" w:line="560" w:lineRule="exact"/>
        <w:ind w:firstLine="640" w:firstLineChars="200"/>
        <w:jc w:val="both"/>
        <w:outlineLvl w:val="0"/>
        <w:rPr>
          <w:rStyle w:val="8"/>
          <w:rFonts w:hint="eastAsia" w:ascii="方正仿宋_GBK" w:hAnsi="方正仿宋_GBK" w:eastAsia="方正仿宋_GBK" w:cs="方正仿宋_GBK"/>
          <w:sz w:val="32"/>
          <w:szCs w:val="32"/>
        </w:rPr>
      </w:pPr>
      <w:r>
        <w:rPr>
          <w:rStyle w:val="8"/>
          <w:rFonts w:hint="eastAsia" w:ascii="方正仿宋_GBK" w:hAnsi="方正仿宋_GBK" w:eastAsia="方正仿宋_GBK" w:cs="方正仿宋_GBK"/>
          <w:b w:val="0"/>
          <w:sz w:val="32"/>
          <w:szCs w:val="32"/>
        </w:rPr>
        <w:t>四、其他需要说明的事项</w:t>
      </w:r>
    </w:p>
    <w:p>
      <w:pPr>
        <w:pStyle w:val="5"/>
        <w:shd w:val="clear" w:color="auto" w:fill="FFFFFF"/>
        <w:spacing w:before="0" w:beforeAutospacing="0" w:after="0" w:afterAutospacing="0" w:line="560" w:lineRule="exact"/>
        <w:ind w:firstLine="643" w:firstLineChars="200"/>
        <w:jc w:val="both"/>
        <w:rPr>
          <w:rFonts w:hint="eastAsia" w:ascii="方正仿宋_GBK" w:hAnsi="方正仿宋_GBK" w:eastAsia="方正仿宋_GBK" w:cs="方正仿宋_GBK"/>
          <w:color w:val="FF0000"/>
          <w:sz w:val="32"/>
          <w:szCs w:val="32"/>
          <w:highlight w:val="none"/>
        </w:rPr>
      </w:pPr>
      <w:r>
        <w:rPr>
          <w:rFonts w:hint="eastAsia" w:ascii="方正仿宋_GBK" w:hAnsi="方正仿宋_GBK" w:eastAsia="方正仿宋_GBK" w:cs="方正仿宋_GBK"/>
          <w:b/>
          <w:sz w:val="32"/>
          <w:szCs w:val="32"/>
          <w:highlight w:val="none"/>
        </w:rPr>
        <w:t>按照部门决算列报口径，我单位</w:t>
      </w:r>
      <w:r>
        <w:rPr>
          <w:rFonts w:hint="eastAsia" w:ascii="方正仿宋_GBK" w:hAnsi="方正仿宋_GBK" w:eastAsia="方正仿宋_GBK" w:cs="方正仿宋_GBK"/>
          <w:b/>
          <w:sz w:val="32"/>
          <w:szCs w:val="32"/>
          <w:highlight w:val="none"/>
          <w:lang w:eastAsia="zh-CN"/>
        </w:rPr>
        <w:t>无</w:t>
      </w:r>
      <w:r>
        <w:rPr>
          <w:rFonts w:hint="eastAsia" w:ascii="方正仿宋_GBK" w:hAnsi="方正仿宋_GBK" w:eastAsia="方正仿宋_GBK" w:cs="方正仿宋_GBK"/>
          <w:b/>
          <w:sz w:val="32"/>
          <w:szCs w:val="32"/>
          <w:highlight w:val="none"/>
        </w:rPr>
        <w:t>机关运行经费。</w:t>
      </w:r>
    </w:p>
    <w:p>
      <w:pPr>
        <w:widowControl w:val="0"/>
        <w:spacing w:line="560" w:lineRule="exact"/>
        <w:ind w:firstLine="643" w:firstLineChars="200"/>
        <w:jc w:val="both"/>
        <w:rPr>
          <w:rFonts w:hint="eastAsia" w:ascii="方正仿宋_GBK" w:hAnsi="方正仿宋_GBK" w:eastAsia="方正仿宋_GBK" w:cs="方正仿宋_GBK"/>
          <w:sz w:val="32"/>
          <w:szCs w:val="32"/>
          <w:highlight w:val="none"/>
        </w:rPr>
      </w:pPr>
      <w:r>
        <w:rPr>
          <w:rStyle w:val="8"/>
          <w:rFonts w:hint="eastAsia" w:ascii="方正仿宋_GBK" w:hAnsi="方正仿宋_GBK" w:eastAsia="方正仿宋_GBK" w:cs="方正仿宋_GBK"/>
          <w:sz w:val="32"/>
          <w:szCs w:val="32"/>
          <w:highlight w:val="none"/>
        </w:rPr>
        <w:t>（二）国有资产占用情况说明。</w:t>
      </w:r>
      <w:r>
        <w:rPr>
          <w:rFonts w:hint="eastAsia" w:ascii="方正仿宋_GBK" w:hAnsi="方正仿宋_GBK" w:eastAsia="方正仿宋_GBK" w:cs="方正仿宋_GBK"/>
          <w:sz w:val="32"/>
          <w:szCs w:val="32"/>
          <w:highlight w:val="none"/>
        </w:rPr>
        <w:t>截至2020年12月31日，</w:t>
      </w:r>
    </w:p>
    <w:p>
      <w:pPr>
        <w:widowControl w:val="0"/>
        <w:spacing w:line="560" w:lineRule="exact"/>
        <w:ind w:firstLine="643" w:firstLineChars="200"/>
        <w:jc w:val="both"/>
        <w:rPr>
          <w:rFonts w:hint="eastAsia" w:ascii="方正仿宋_GBK" w:hAnsi="方正仿宋_GBK" w:eastAsia="方正仿宋_GBK" w:cs="方正仿宋_GBK"/>
          <w:sz w:val="32"/>
          <w:szCs w:val="32"/>
          <w:highlight w:val="none"/>
        </w:rPr>
      </w:pPr>
      <w:r>
        <w:rPr>
          <w:rFonts w:hint="eastAsia" w:ascii="方正仿宋_GBK" w:hAnsi="方正仿宋_GBK" w:eastAsia="方正仿宋_GBK" w:cs="方正仿宋_GBK"/>
          <w:b/>
          <w:sz w:val="32"/>
          <w:szCs w:val="32"/>
          <w:highlight w:val="none"/>
        </w:rPr>
        <w:t>我单位</w:t>
      </w:r>
      <w:r>
        <w:rPr>
          <w:rFonts w:hint="eastAsia" w:ascii="方正仿宋_GBK" w:hAnsi="方正仿宋_GBK" w:eastAsia="方正仿宋_GBK" w:cs="方正仿宋_GBK"/>
          <w:b/>
          <w:sz w:val="32"/>
          <w:szCs w:val="32"/>
          <w:highlight w:val="none"/>
          <w:lang w:eastAsia="zh-CN"/>
        </w:rPr>
        <w:t>无国有</w:t>
      </w:r>
      <w:r>
        <w:rPr>
          <w:rFonts w:hint="eastAsia" w:ascii="方正仿宋_GBK" w:hAnsi="方正仿宋_GBK" w:eastAsia="方正仿宋_GBK" w:cs="方正仿宋_GBK"/>
          <w:b/>
          <w:sz w:val="32"/>
          <w:szCs w:val="32"/>
          <w:highlight w:val="none"/>
        </w:rPr>
        <w:t>资产</w:t>
      </w:r>
      <w:r>
        <w:rPr>
          <w:rFonts w:hint="eastAsia" w:ascii="方正仿宋_GBK" w:hAnsi="方正仿宋_GBK" w:eastAsia="方正仿宋_GBK" w:cs="方正仿宋_GBK"/>
          <w:b/>
          <w:sz w:val="32"/>
          <w:szCs w:val="32"/>
          <w:highlight w:val="none"/>
          <w:lang w:eastAsia="zh-CN"/>
        </w:rPr>
        <w:t>占用情况</w:t>
      </w:r>
      <w:r>
        <w:rPr>
          <w:rFonts w:hint="eastAsia" w:ascii="方正仿宋_GBK" w:hAnsi="方正仿宋_GBK" w:eastAsia="方正仿宋_GBK" w:cs="方正仿宋_GBK"/>
          <w:b/>
          <w:sz w:val="32"/>
          <w:szCs w:val="32"/>
          <w:highlight w:val="none"/>
        </w:rPr>
        <w:t>。</w:t>
      </w:r>
    </w:p>
    <w:p>
      <w:pPr>
        <w:pStyle w:val="5"/>
        <w:shd w:val="clear" w:color="auto" w:fill="FFFFFF"/>
        <w:spacing w:before="0" w:beforeAutospacing="0" w:after="0" w:afterAutospacing="0" w:line="560" w:lineRule="exact"/>
        <w:ind w:firstLine="643" w:firstLineChars="200"/>
        <w:jc w:val="both"/>
        <w:rPr>
          <w:rFonts w:hint="eastAsia" w:ascii="方正仿宋_GBK" w:hAnsi="方正仿宋_GBK" w:eastAsia="方正仿宋_GBK" w:cs="方正仿宋_GBK"/>
          <w:sz w:val="32"/>
          <w:szCs w:val="32"/>
        </w:rPr>
      </w:pPr>
      <w:r>
        <w:rPr>
          <w:rStyle w:val="8"/>
          <w:rFonts w:hint="eastAsia" w:ascii="方正仿宋_GBK" w:hAnsi="方正仿宋_GBK" w:eastAsia="方正仿宋_GBK" w:cs="方正仿宋_GBK"/>
          <w:sz w:val="32"/>
          <w:szCs w:val="32"/>
        </w:rPr>
        <w:t>（三）政府采购支出情况说明。</w:t>
      </w:r>
      <w:r>
        <w:rPr>
          <w:rFonts w:hint="eastAsia" w:ascii="方正仿宋_GBK" w:hAnsi="方正仿宋_GBK" w:eastAsia="方正仿宋_GBK" w:cs="方正仿宋_GBK"/>
          <w:sz w:val="32"/>
          <w:szCs w:val="32"/>
        </w:rPr>
        <w:t>2020年度本部门政府采购支出总额</w:t>
      </w:r>
      <w:r>
        <w:rPr>
          <w:rFonts w:hint="eastAsia" w:ascii="方正仿宋_GBK" w:hAnsi="方正仿宋_GBK" w:eastAsia="方正仿宋_GBK" w:cs="方正仿宋_GBK"/>
          <w:sz w:val="32"/>
          <w:szCs w:val="32"/>
          <w:lang w:val="en-US" w:eastAsia="zh-CN"/>
        </w:rPr>
        <w:t>1671.89</w:t>
      </w:r>
      <w:r>
        <w:rPr>
          <w:rFonts w:hint="eastAsia" w:ascii="方正仿宋_GBK" w:hAnsi="方正仿宋_GBK" w:eastAsia="方正仿宋_GBK" w:cs="方正仿宋_GBK"/>
          <w:sz w:val="32"/>
          <w:szCs w:val="32"/>
        </w:rPr>
        <w:t>万元，其中：政府采购货物支出</w:t>
      </w:r>
      <w:r>
        <w:rPr>
          <w:rFonts w:hint="eastAsia" w:ascii="方正仿宋_GBK" w:hAnsi="方正仿宋_GBK" w:eastAsia="方正仿宋_GBK" w:cs="方正仿宋_GBK"/>
          <w:sz w:val="32"/>
          <w:szCs w:val="32"/>
          <w:lang w:val="en-US" w:eastAsia="zh-CN"/>
        </w:rPr>
        <w:t>1671.89</w:t>
      </w:r>
      <w:r>
        <w:rPr>
          <w:rFonts w:hint="eastAsia" w:ascii="方正仿宋_GBK" w:hAnsi="方正仿宋_GBK" w:eastAsia="方正仿宋_GBK" w:cs="方正仿宋_GBK"/>
          <w:sz w:val="32"/>
          <w:szCs w:val="32"/>
        </w:rPr>
        <w:t>万元、政府采购工程支出</w:t>
      </w:r>
      <w:r>
        <w:rPr>
          <w:rFonts w:hint="eastAsia" w:ascii="方正仿宋_GBK" w:hAnsi="方正仿宋_GBK" w:eastAsia="方正仿宋_GBK" w:cs="方正仿宋_GBK"/>
          <w:sz w:val="32"/>
          <w:szCs w:val="32"/>
          <w:lang w:val="en-US" w:eastAsia="zh-CN"/>
        </w:rPr>
        <w:t>0</w:t>
      </w:r>
      <w:r>
        <w:rPr>
          <w:rFonts w:hint="eastAsia" w:ascii="方正仿宋_GBK" w:hAnsi="方正仿宋_GBK" w:eastAsia="方正仿宋_GBK" w:cs="方正仿宋_GBK"/>
          <w:sz w:val="32"/>
          <w:szCs w:val="32"/>
        </w:rPr>
        <w:t>万元、政府采购服务支出</w:t>
      </w:r>
      <w:r>
        <w:rPr>
          <w:rFonts w:hint="eastAsia" w:ascii="方正仿宋_GBK" w:hAnsi="方正仿宋_GBK" w:eastAsia="方正仿宋_GBK" w:cs="方正仿宋_GBK"/>
          <w:sz w:val="32"/>
          <w:szCs w:val="32"/>
          <w:lang w:val="en-US" w:eastAsia="zh-CN"/>
        </w:rPr>
        <w:t>0</w:t>
      </w:r>
      <w:r>
        <w:rPr>
          <w:rFonts w:hint="eastAsia" w:ascii="方正仿宋_GBK" w:hAnsi="方正仿宋_GBK" w:eastAsia="方正仿宋_GBK" w:cs="方正仿宋_GBK"/>
          <w:sz w:val="32"/>
          <w:szCs w:val="32"/>
        </w:rPr>
        <w:t>万元。授予中小企业合同金额</w:t>
      </w:r>
      <w:r>
        <w:rPr>
          <w:rFonts w:hint="eastAsia" w:ascii="方正仿宋_GBK" w:hAnsi="方正仿宋_GBK" w:eastAsia="方正仿宋_GBK" w:cs="方正仿宋_GBK"/>
          <w:sz w:val="32"/>
          <w:szCs w:val="32"/>
          <w:lang w:val="en-US" w:eastAsia="zh-CN"/>
        </w:rPr>
        <w:t>1671.89</w:t>
      </w:r>
      <w:r>
        <w:rPr>
          <w:rFonts w:hint="eastAsia" w:ascii="方正仿宋_GBK" w:hAnsi="方正仿宋_GBK" w:eastAsia="方正仿宋_GBK" w:cs="方正仿宋_GBK"/>
          <w:sz w:val="32"/>
          <w:szCs w:val="32"/>
        </w:rPr>
        <w:t>万元，占政府采购支出总额的</w:t>
      </w:r>
      <w:r>
        <w:rPr>
          <w:rFonts w:hint="eastAsia" w:ascii="方正仿宋_GBK" w:hAnsi="方正仿宋_GBK" w:eastAsia="方正仿宋_GBK" w:cs="方正仿宋_GBK"/>
          <w:sz w:val="32"/>
          <w:szCs w:val="32"/>
          <w:lang w:val="en-US" w:eastAsia="zh-CN"/>
        </w:rPr>
        <w:t>100</w:t>
      </w:r>
      <w:r>
        <w:rPr>
          <w:rFonts w:hint="eastAsia" w:ascii="方正仿宋_GBK" w:hAnsi="方正仿宋_GBK" w:eastAsia="方正仿宋_GBK" w:cs="方正仿宋_GBK"/>
          <w:sz w:val="32"/>
          <w:szCs w:val="32"/>
        </w:rPr>
        <w:t>%，其中：授予小微企业合同金额</w:t>
      </w:r>
      <w:r>
        <w:rPr>
          <w:rFonts w:hint="eastAsia" w:ascii="方正仿宋_GBK" w:hAnsi="方正仿宋_GBK" w:eastAsia="方正仿宋_GBK" w:cs="方正仿宋_GBK"/>
          <w:sz w:val="32"/>
          <w:szCs w:val="32"/>
          <w:lang w:val="en-US" w:eastAsia="zh-CN"/>
        </w:rPr>
        <w:t>1671.89</w:t>
      </w:r>
      <w:r>
        <w:rPr>
          <w:rFonts w:hint="eastAsia" w:ascii="方正仿宋_GBK" w:hAnsi="方正仿宋_GBK" w:eastAsia="方正仿宋_GBK" w:cs="方正仿宋_GBK"/>
          <w:sz w:val="32"/>
          <w:szCs w:val="32"/>
        </w:rPr>
        <w:t>万元，占政府采购支出总额的</w:t>
      </w:r>
      <w:r>
        <w:rPr>
          <w:rFonts w:hint="eastAsia" w:ascii="方正仿宋_GBK" w:hAnsi="方正仿宋_GBK" w:eastAsia="方正仿宋_GBK" w:cs="方正仿宋_GBK"/>
          <w:sz w:val="32"/>
          <w:szCs w:val="32"/>
          <w:lang w:val="en-US" w:eastAsia="zh-CN"/>
        </w:rPr>
        <w:t>100</w:t>
      </w:r>
      <w:r>
        <w:rPr>
          <w:rFonts w:hint="eastAsia" w:ascii="方正仿宋_GBK" w:hAnsi="方正仿宋_GBK" w:eastAsia="方正仿宋_GBK" w:cs="方正仿宋_GBK"/>
          <w:sz w:val="32"/>
          <w:szCs w:val="32"/>
        </w:rPr>
        <w:t>%。主要用于采购</w:t>
      </w:r>
      <w:r>
        <w:rPr>
          <w:rFonts w:hint="eastAsia" w:ascii="方正仿宋_GBK" w:hAnsi="方正仿宋_GBK" w:eastAsia="方正仿宋_GBK" w:cs="方正仿宋_GBK"/>
          <w:sz w:val="32"/>
          <w:szCs w:val="32"/>
          <w:lang w:eastAsia="zh-CN"/>
        </w:rPr>
        <w:t>医疗设备，办公设备，病人用被服。</w:t>
      </w:r>
    </w:p>
    <w:p>
      <w:pPr>
        <w:pStyle w:val="5"/>
        <w:shd w:val="clear" w:color="auto" w:fill="FFFFFF"/>
        <w:spacing w:before="0" w:beforeAutospacing="0" w:after="0" w:afterAutospacing="0" w:line="560" w:lineRule="exact"/>
        <w:ind w:firstLine="643" w:firstLineChars="200"/>
        <w:jc w:val="both"/>
        <w:outlineLvl w:val="0"/>
        <w:rPr>
          <w:rStyle w:val="8"/>
          <w:rFonts w:hint="eastAsia" w:ascii="方正仿宋_GBK" w:hAnsi="方正仿宋_GBK" w:eastAsia="方正仿宋_GBK" w:cs="方正仿宋_GBK"/>
        </w:rPr>
      </w:pPr>
      <w:r>
        <w:rPr>
          <w:rStyle w:val="8"/>
          <w:rFonts w:hint="eastAsia" w:ascii="方正仿宋_GBK" w:hAnsi="方正仿宋_GBK" w:eastAsia="方正仿宋_GBK" w:cs="方正仿宋_GBK"/>
          <w:sz w:val="32"/>
          <w:szCs w:val="32"/>
        </w:rPr>
        <w:t>五、预算绩效管理情况说明</w:t>
      </w:r>
    </w:p>
    <w:p>
      <w:pPr>
        <w:pStyle w:val="12"/>
        <w:tabs>
          <w:tab w:val="center" w:pos="4153"/>
          <w:tab w:val="left" w:pos="7275"/>
        </w:tabs>
        <w:spacing w:line="560" w:lineRule="exact"/>
        <w:ind w:firstLine="640"/>
        <w:rPr>
          <w:rFonts w:hint="eastAsia" w:ascii="方正仿宋_GBK" w:hAnsi="方正仿宋_GBK" w:eastAsia="方正仿宋_GBK" w:cs="方正仿宋_GBK"/>
          <w:b/>
          <w:kern w:val="0"/>
          <w:sz w:val="32"/>
          <w:szCs w:val="32"/>
        </w:rPr>
      </w:pPr>
      <w:r>
        <w:rPr>
          <w:rFonts w:hint="eastAsia" w:ascii="方正仿宋_GBK" w:hAnsi="方正仿宋_GBK" w:eastAsia="方正仿宋_GBK" w:cs="方正仿宋_GBK"/>
          <w:b/>
          <w:kern w:val="0"/>
          <w:sz w:val="32"/>
          <w:szCs w:val="32"/>
        </w:rPr>
        <w:t>（一）预算绩效管理工作开展情况</w:t>
      </w:r>
    </w:p>
    <w:p>
      <w:pPr>
        <w:pStyle w:val="12"/>
        <w:tabs>
          <w:tab w:val="center" w:pos="4153"/>
          <w:tab w:val="left" w:pos="7275"/>
        </w:tabs>
        <w:spacing w:line="560" w:lineRule="exact"/>
        <w:ind w:firstLine="640"/>
        <w:rPr>
          <w:rFonts w:hint="eastAsia" w:ascii="方正仿宋_GBK" w:hAnsi="方正仿宋_GBK" w:eastAsia="方正仿宋_GBK" w:cs="方正仿宋_GBK"/>
          <w:color w:val="FF0000"/>
          <w:kern w:val="0"/>
          <w:sz w:val="32"/>
          <w:szCs w:val="32"/>
          <w:lang w:val="en-US" w:eastAsia="zh-CN"/>
        </w:rPr>
      </w:pPr>
      <w:r>
        <w:rPr>
          <w:rFonts w:hint="eastAsia" w:ascii="方正仿宋_GBK" w:hAnsi="方正仿宋_GBK" w:eastAsia="方正仿宋_GBK" w:cs="方正仿宋_GBK"/>
          <w:kern w:val="0"/>
          <w:sz w:val="32"/>
          <w:szCs w:val="32"/>
        </w:rPr>
        <w:t>根据预算绩效管理要求，本部门对</w:t>
      </w:r>
      <w:r>
        <w:rPr>
          <w:rFonts w:hint="eastAsia" w:ascii="方正仿宋_GBK" w:hAnsi="方正仿宋_GBK" w:eastAsia="方正仿宋_GBK" w:cs="方正仿宋_GBK"/>
          <w:kern w:val="0"/>
          <w:sz w:val="32"/>
          <w:szCs w:val="32"/>
          <w:lang w:val="en-US" w:eastAsia="zh-CN"/>
        </w:rPr>
        <w:t>8</w:t>
      </w:r>
      <w:r>
        <w:rPr>
          <w:rFonts w:hint="eastAsia" w:ascii="方正仿宋_GBK" w:hAnsi="方正仿宋_GBK" w:eastAsia="方正仿宋_GBK" w:cs="方正仿宋_GBK"/>
          <w:kern w:val="0"/>
          <w:sz w:val="32"/>
          <w:szCs w:val="32"/>
        </w:rPr>
        <w:t>个项目开展了绩效自评，其中，以填报目标自评表形式开展自评</w:t>
      </w:r>
      <w:r>
        <w:rPr>
          <w:rFonts w:hint="eastAsia" w:ascii="方正仿宋_GBK" w:hAnsi="方正仿宋_GBK" w:eastAsia="方正仿宋_GBK" w:cs="方正仿宋_GBK"/>
          <w:kern w:val="0"/>
          <w:sz w:val="32"/>
          <w:szCs w:val="32"/>
          <w:lang w:val="en-US" w:eastAsia="zh-CN"/>
        </w:rPr>
        <w:t>8</w:t>
      </w:r>
      <w:r>
        <w:rPr>
          <w:rFonts w:hint="eastAsia" w:ascii="方正仿宋_GBK" w:hAnsi="方正仿宋_GBK" w:eastAsia="方正仿宋_GBK" w:cs="方正仿宋_GBK"/>
          <w:kern w:val="0"/>
          <w:sz w:val="32"/>
          <w:szCs w:val="32"/>
        </w:rPr>
        <w:t>项，涉及资金</w:t>
      </w:r>
      <w:r>
        <w:rPr>
          <w:rFonts w:hint="eastAsia" w:ascii="方正仿宋_GBK" w:hAnsi="方正仿宋_GBK" w:eastAsia="方正仿宋_GBK" w:cs="方正仿宋_GBK"/>
          <w:kern w:val="0"/>
          <w:sz w:val="32"/>
          <w:szCs w:val="32"/>
          <w:lang w:val="en-US" w:eastAsia="zh-CN"/>
        </w:rPr>
        <w:t>7122.2</w:t>
      </w:r>
      <w:r>
        <w:rPr>
          <w:rFonts w:hint="eastAsia" w:ascii="方正仿宋_GBK" w:hAnsi="方正仿宋_GBK" w:eastAsia="方正仿宋_GBK" w:cs="方正仿宋_GBK"/>
          <w:kern w:val="0"/>
          <w:sz w:val="32"/>
          <w:szCs w:val="32"/>
        </w:rPr>
        <w:t>万元；以委托第三方形式开展绩效自评</w:t>
      </w:r>
      <w:r>
        <w:rPr>
          <w:rFonts w:hint="eastAsia" w:ascii="方正仿宋_GBK" w:hAnsi="方正仿宋_GBK" w:eastAsia="方正仿宋_GBK" w:cs="方正仿宋_GBK"/>
          <w:kern w:val="0"/>
          <w:sz w:val="32"/>
          <w:szCs w:val="32"/>
          <w:lang w:val="en-US" w:eastAsia="zh-CN"/>
        </w:rPr>
        <w:t>0</w:t>
      </w:r>
      <w:r>
        <w:rPr>
          <w:rFonts w:hint="eastAsia" w:ascii="方正仿宋_GBK" w:hAnsi="方正仿宋_GBK" w:eastAsia="方正仿宋_GBK" w:cs="方正仿宋_GBK"/>
          <w:kern w:val="0"/>
          <w:sz w:val="32"/>
          <w:szCs w:val="32"/>
        </w:rPr>
        <w:t>项，涉及资金</w:t>
      </w:r>
      <w:r>
        <w:rPr>
          <w:rFonts w:hint="eastAsia" w:ascii="方正仿宋_GBK" w:hAnsi="方正仿宋_GBK" w:eastAsia="方正仿宋_GBK" w:cs="方正仿宋_GBK"/>
          <w:kern w:val="0"/>
          <w:sz w:val="32"/>
          <w:szCs w:val="32"/>
          <w:lang w:val="en-US" w:eastAsia="zh-CN"/>
        </w:rPr>
        <w:t>0</w:t>
      </w:r>
      <w:r>
        <w:rPr>
          <w:rFonts w:hint="eastAsia" w:ascii="方正仿宋_GBK" w:hAnsi="方正仿宋_GBK" w:eastAsia="方正仿宋_GBK" w:cs="方正仿宋_GBK"/>
          <w:kern w:val="0"/>
          <w:sz w:val="32"/>
          <w:szCs w:val="32"/>
        </w:rPr>
        <w:t>万元</w:t>
      </w:r>
      <w:r>
        <w:rPr>
          <w:rFonts w:hint="eastAsia" w:ascii="方正仿宋_GBK" w:hAnsi="方正仿宋_GBK" w:eastAsia="方正仿宋_GBK" w:cs="方正仿宋_GBK"/>
          <w:kern w:val="0"/>
          <w:sz w:val="32"/>
          <w:szCs w:val="32"/>
          <w:lang w:val="en-US" w:eastAsia="zh-CN"/>
        </w:rPr>
        <w:t>。</w:t>
      </w:r>
    </w:p>
    <w:p>
      <w:pPr>
        <w:pStyle w:val="12"/>
        <w:tabs>
          <w:tab w:val="center" w:pos="4153"/>
          <w:tab w:val="left" w:pos="7275"/>
        </w:tabs>
        <w:spacing w:line="560" w:lineRule="exact"/>
        <w:ind w:firstLine="643"/>
        <w:rPr>
          <w:rFonts w:hint="eastAsia" w:ascii="方正仿宋_GBK" w:hAnsi="方正仿宋_GBK" w:eastAsia="方正仿宋_GBK" w:cs="方正仿宋_GBK"/>
          <w:b/>
          <w:kern w:val="0"/>
          <w:sz w:val="32"/>
          <w:szCs w:val="32"/>
        </w:rPr>
      </w:pPr>
      <w:r>
        <w:rPr>
          <w:rFonts w:hint="eastAsia" w:ascii="方正仿宋_GBK" w:hAnsi="方正仿宋_GBK" w:eastAsia="方正仿宋_GBK" w:cs="方正仿宋_GBK"/>
          <w:b/>
          <w:kern w:val="0"/>
          <w:sz w:val="32"/>
          <w:szCs w:val="32"/>
        </w:rPr>
        <w:t>（二）绩效自评结果</w:t>
      </w:r>
    </w:p>
    <w:p>
      <w:pPr>
        <w:pStyle w:val="12"/>
        <w:tabs>
          <w:tab w:val="center" w:pos="4153"/>
          <w:tab w:val="left" w:pos="7275"/>
        </w:tabs>
        <w:spacing w:line="560" w:lineRule="exact"/>
        <w:ind w:firstLine="643"/>
        <w:rPr>
          <w:rFonts w:hint="eastAsia" w:ascii="方正仿宋_GBK" w:hAnsi="方正仿宋_GBK" w:eastAsia="方正仿宋_GBK" w:cs="方正仿宋_GBK"/>
          <w:color w:val="auto"/>
          <w:kern w:val="0"/>
          <w:sz w:val="32"/>
          <w:szCs w:val="32"/>
          <w:highlight w:val="none"/>
        </w:rPr>
      </w:pPr>
      <w:r>
        <w:rPr>
          <w:rFonts w:hint="eastAsia" w:ascii="方正仿宋_GBK" w:hAnsi="方正仿宋_GBK" w:eastAsia="方正仿宋_GBK" w:cs="方正仿宋_GBK"/>
          <w:b/>
          <w:kern w:val="0"/>
          <w:sz w:val="32"/>
          <w:szCs w:val="32"/>
        </w:rPr>
        <w:t>1.绩效自评表</w:t>
      </w:r>
      <w:r>
        <w:rPr>
          <w:rFonts w:hint="eastAsia" w:ascii="方正仿宋_GBK" w:hAnsi="方正仿宋_GBK" w:eastAsia="方正仿宋_GBK" w:cs="方正仿宋_GBK"/>
          <w:color w:val="auto"/>
          <w:kern w:val="0"/>
          <w:sz w:val="32"/>
          <w:szCs w:val="32"/>
          <w:highlight w:val="none"/>
        </w:rPr>
        <w:t>（必须公开内容）</w:t>
      </w:r>
    </w:p>
    <w:tbl>
      <w:tblPr>
        <w:tblStyle w:val="6"/>
        <w:tblW w:w="0" w:type="auto"/>
        <w:tblInd w:w="108" w:type="dxa"/>
        <w:tblLayout w:type="autofit"/>
        <w:tblCellMar>
          <w:top w:w="0" w:type="dxa"/>
          <w:left w:w="108" w:type="dxa"/>
          <w:bottom w:w="0" w:type="dxa"/>
          <w:right w:w="108" w:type="dxa"/>
        </w:tblCellMar>
      </w:tblPr>
      <w:tblGrid>
        <w:gridCol w:w="696"/>
        <w:gridCol w:w="616"/>
        <w:gridCol w:w="958"/>
        <w:gridCol w:w="664"/>
        <w:gridCol w:w="616"/>
        <w:gridCol w:w="646"/>
        <w:gridCol w:w="646"/>
        <w:gridCol w:w="646"/>
        <w:gridCol w:w="539"/>
        <w:gridCol w:w="483"/>
        <w:gridCol w:w="444"/>
        <w:gridCol w:w="872"/>
        <w:gridCol w:w="674"/>
      </w:tblGrid>
      <w:tr>
        <w:tblPrEx>
          <w:tblCellMar>
            <w:top w:w="0" w:type="dxa"/>
            <w:left w:w="108" w:type="dxa"/>
            <w:bottom w:w="0" w:type="dxa"/>
            <w:right w:w="108" w:type="dxa"/>
          </w:tblCellMar>
        </w:tblPrEx>
        <w:trPr>
          <w:trHeight w:val="601" w:hRule="atLeast"/>
        </w:trPr>
        <w:tc>
          <w:tcPr>
            <w:tcW w:w="8500" w:type="dxa"/>
            <w:gridSpan w:val="13"/>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color w:val="000000"/>
                <w:sz w:val="36"/>
                <w:szCs w:val="36"/>
              </w:rPr>
            </w:pPr>
            <w:r>
              <w:rPr>
                <w:rFonts w:hint="eastAsia" w:ascii="方正仿宋_GBK" w:hAnsi="方正仿宋_GBK" w:eastAsia="方正仿宋_GBK" w:cs="方正仿宋_GBK"/>
                <w:b/>
                <w:bCs/>
                <w:i w:val="0"/>
                <w:iCs w:val="0"/>
                <w:color w:val="000000"/>
                <w:kern w:val="0"/>
                <w:sz w:val="28"/>
                <w:szCs w:val="28"/>
                <w:u w:val="none"/>
                <w:lang w:val="en-US" w:eastAsia="zh-CN" w:bidi="ar"/>
              </w:rPr>
              <w:t>2020年预算项目绩效目标自评表</w:t>
            </w:r>
          </w:p>
        </w:tc>
      </w:tr>
      <w:tr>
        <w:tblPrEx>
          <w:tblCellMar>
            <w:top w:w="0" w:type="dxa"/>
            <w:left w:w="108" w:type="dxa"/>
            <w:bottom w:w="0" w:type="dxa"/>
            <w:right w:w="108" w:type="dxa"/>
          </w:tblCellMar>
        </w:tblPrEx>
        <w:trPr>
          <w:trHeight w:val="601" w:hRule="atLeast"/>
        </w:trPr>
        <w:tc>
          <w:tcPr>
            <w:tcW w:w="75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i w:val="0"/>
                <w:iCs w:val="0"/>
                <w:color w:val="000000"/>
                <w:kern w:val="0"/>
                <w:sz w:val="20"/>
                <w:szCs w:val="20"/>
                <w:u w:val="none"/>
                <w:lang w:val="en-US" w:eastAsia="zh-CN" w:bidi="ar"/>
              </w:rPr>
              <w:t>项目名称</w:t>
            </w:r>
          </w:p>
        </w:tc>
        <w:tc>
          <w:tcPr>
            <w:tcW w:w="3443" w:type="dxa"/>
            <w:gridSpan w:val="5"/>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i w:val="0"/>
                <w:iCs w:val="0"/>
                <w:color w:val="000000"/>
                <w:kern w:val="0"/>
                <w:sz w:val="20"/>
                <w:szCs w:val="20"/>
                <w:u w:val="none"/>
                <w:lang w:val="en-US" w:eastAsia="zh-CN" w:bidi="ar"/>
              </w:rPr>
              <w:t>精神病防治</w:t>
            </w:r>
          </w:p>
        </w:tc>
        <w:tc>
          <w:tcPr>
            <w:tcW w:w="52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i w:val="0"/>
                <w:iCs w:val="0"/>
                <w:color w:val="000000"/>
                <w:kern w:val="0"/>
                <w:sz w:val="20"/>
                <w:szCs w:val="20"/>
                <w:u w:val="none"/>
                <w:lang w:val="en-US" w:eastAsia="zh-CN" w:bidi="ar"/>
              </w:rPr>
              <w:t>实施单位</w:t>
            </w:r>
          </w:p>
        </w:tc>
        <w:tc>
          <w:tcPr>
            <w:tcW w:w="3784" w:type="dxa"/>
            <w:gridSpan w:val="6"/>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i w:val="0"/>
                <w:iCs w:val="0"/>
                <w:color w:val="000000"/>
                <w:kern w:val="0"/>
                <w:sz w:val="20"/>
                <w:szCs w:val="20"/>
                <w:u w:val="none"/>
                <w:lang w:val="en-US" w:eastAsia="zh-CN" w:bidi="ar"/>
              </w:rPr>
              <w:t>重庆市南岸区精神卫生中心</w:t>
            </w:r>
          </w:p>
        </w:tc>
      </w:tr>
      <w:tr>
        <w:tblPrEx>
          <w:tblCellMar>
            <w:top w:w="0" w:type="dxa"/>
            <w:left w:w="108" w:type="dxa"/>
            <w:bottom w:w="0" w:type="dxa"/>
            <w:right w:w="108" w:type="dxa"/>
          </w:tblCellMar>
        </w:tblPrEx>
        <w:trPr>
          <w:trHeight w:val="601" w:hRule="atLeast"/>
        </w:trPr>
        <w:tc>
          <w:tcPr>
            <w:tcW w:w="751"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i w:val="0"/>
                <w:iCs w:val="0"/>
                <w:color w:val="000000"/>
                <w:kern w:val="0"/>
                <w:sz w:val="20"/>
                <w:szCs w:val="20"/>
                <w:u w:val="none"/>
                <w:lang w:val="en-US" w:eastAsia="zh-CN" w:bidi="ar"/>
              </w:rPr>
              <w:t>一级项目编码</w:t>
            </w:r>
          </w:p>
        </w:tc>
        <w:tc>
          <w:tcPr>
            <w:tcW w:w="3443" w:type="dxa"/>
            <w:gridSpan w:val="5"/>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i w:val="0"/>
                <w:iCs w:val="0"/>
                <w:color w:val="000000"/>
                <w:kern w:val="0"/>
                <w:sz w:val="20"/>
                <w:szCs w:val="20"/>
                <w:u w:val="none"/>
                <w:lang w:val="en-US" w:eastAsia="zh-CN" w:bidi="ar"/>
              </w:rPr>
              <w:t>2020A1047</w:t>
            </w:r>
          </w:p>
        </w:tc>
        <w:tc>
          <w:tcPr>
            <w:tcW w:w="52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i w:val="0"/>
                <w:iCs w:val="0"/>
                <w:color w:val="000000"/>
                <w:kern w:val="0"/>
                <w:sz w:val="20"/>
                <w:szCs w:val="20"/>
                <w:u w:val="none"/>
                <w:lang w:val="en-US" w:eastAsia="zh-CN" w:bidi="ar"/>
              </w:rPr>
              <w:t>一级项目名称</w:t>
            </w:r>
          </w:p>
        </w:tc>
        <w:tc>
          <w:tcPr>
            <w:tcW w:w="3784" w:type="dxa"/>
            <w:gridSpan w:val="6"/>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i w:val="0"/>
                <w:iCs w:val="0"/>
                <w:color w:val="000000"/>
                <w:kern w:val="0"/>
                <w:sz w:val="20"/>
                <w:szCs w:val="20"/>
                <w:u w:val="none"/>
                <w:lang w:val="en-US" w:eastAsia="zh-CN" w:bidi="ar"/>
              </w:rPr>
              <w:t>精神病防治</w:t>
            </w:r>
          </w:p>
        </w:tc>
      </w:tr>
      <w:tr>
        <w:tblPrEx>
          <w:tblCellMar>
            <w:top w:w="0" w:type="dxa"/>
            <w:left w:w="108" w:type="dxa"/>
            <w:bottom w:w="0" w:type="dxa"/>
            <w:right w:w="108" w:type="dxa"/>
          </w:tblCellMar>
        </w:tblPrEx>
        <w:trPr>
          <w:cantSplit/>
          <w:trHeight w:val="601" w:hRule="atLeast"/>
        </w:trPr>
        <w:tc>
          <w:tcPr>
            <w:tcW w:w="751"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i w:val="0"/>
                <w:iCs w:val="0"/>
                <w:color w:val="000000"/>
                <w:kern w:val="0"/>
                <w:sz w:val="20"/>
                <w:szCs w:val="20"/>
                <w:u w:val="none"/>
                <w:lang w:val="en-US" w:eastAsia="zh-CN" w:bidi="ar"/>
              </w:rPr>
              <w:t>主管部门</w:t>
            </w:r>
          </w:p>
        </w:tc>
        <w:tc>
          <w:tcPr>
            <w:tcW w:w="3443" w:type="dxa"/>
            <w:gridSpan w:val="5"/>
            <w:tcBorders>
              <w:top w:val="nil"/>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i w:val="0"/>
                <w:iCs w:val="0"/>
                <w:color w:val="000000"/>
                <w:kern w:val="0"/>
                <w:sz w:val="20"/>
                <w:szCs w:val="20"/>
                <w:u w:val="none"/>
                <w:lang w:val="en-US" w:eastAsia="zh-CN" w:bidi="ar"/>
              </w:rPr>
              <w:t>重庆市南岸区卫生健康委员会</w:t>
            </w:r>
          </w:p>
        </w:tc>
        <w:tc>
          <w:tcPr>
            <w:tcW w:w="52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i w:val="0"/>
                <w:iCs w:val="0"/>
                <w:color w:val="000000"/>
                <w:kern w:val="0"/>
                <w:sz w:val="20"/>
                <w:szCs w:val="20"/>
                <w:u w:val="none"/>
                <w:lang w:val="en-US" w:eastAsia="zh-CN" w:bidi="ar"/>
              </w:rPr>
              <w:t>归口科室</w:t>
            </w:r>
          </w:p>
        </w:tc>
        <w:tc>
          <w:tcPr>
            <w:tcW w:w="3784" w:type="dxa"/>
            <w:gridSpan w:val="6"/>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i w:val="0"/>
                <w:iCs w:val="0"/>
                <w:color w:val="000000"/>
                <w:kern w:val="0"/>
                <w:sz w:val="20"/>
                <w:szCs w:val="20"/>
                <w:u w:val="none"/>
                <w:lang w:val="en-US" w:eastAsia="zh-CN" w:bidi="ar"/>
              </w:rPr>
              <w:t>社保科</w:t>
            </w:r>
          </w:p>
        </w:tc>
      </w:tr>
      <w:tr>
        <w:tblPrEx>
          <w:tblCellMar>
            <w:top w:w="0" w:type="dxa"/>
            <w:left w:w="108" w:type="dxa"/>
            <w:bottom w:w="0" w:type="dxa"/>
            <w:right w:w="108" w:type="dxa"/>
          </w:tblCellMar>
        </w:tblPrEx>
        <w:trPr>
          <w:cantSplit/>
          <w:trHeight w:val="601" w:hRule="atLeast"/>
        </w:trPr>
        <w:tc>
          <w:tcPr>
            <w:tcW w:w="751" w:type="dxa"/>
            <w:vMerge w:val="restart"/>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i w:val="0"/>
                <w:iCs w:val="0"/>
                <w:color w:val="000000"/>
                <w:kern w:val="0"/>
                <w:sz w:val="20"/>
                <w:szCs w:val="20"/>
                <w:u w:val="none"/>
                <w:lang w:val="en-US" w:eastAsia="zh-CN" w:bidi="ar"/>
              </w:rPr>
              <w:t>项目预算执行情况（万元）</w:t>
            </w:r>
          </w:p>
        </w:tc>
        <w:tc>
          <w:tcPr>
            <w:tcW w:w="2475" w:type="dxa"/>
            <w:gridSpan w:val="3"/>
            <w:tcBorders>
              <w:top w:val="nil"/>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i w:val="0"/>
                <w:iCs w:val="0"/>
                <w:color w:val="000000"/>
                <w:kern w:val="0"/>
                <w:sz w:val="20"/>
                <w:szCs w:val="20"/>
                <w:u w:val="none"/>
                <w:lang w:val="en-US" w:eastAsia="zh-CN" w:bidi="ar"/>
              </w:rPr>
              <w:t>全年预算数（A）</w:t>
            </w:r>
          </w:p>
        </w:tc>
        <w:tc>
          <w:tcPr>
            <w:tcW w:w="1490"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i w:val="0"/>
                <w:iCs w:val="0"/>
                <w:color w:val="000000"/>
                <w:kern w:val="0"/>
                <w:sz w:val="20"/>
                <w:szCs w:val="20"/>
                <w:u w:val="none"/>
                <w:lang w:val="en-US" w:eastAsia="zh-CN" w:bidi="ar"/>
              </w:rPr>
              <w:t>调整预算数（B）</w:t>
            </w:r>
          </w:p>
        </w:tc>
        <w:tc>
          <w:tcPr>
            <w:tcW w:w="1821" w:type="dxa"/>
            <w:gridSpan w:val="4"/>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i w:val="0"/>
                <w:iCs w:val="0"/>
                <w:color w:val="000000"/>
                <w:kern w:val="0"/>
                <w:sz w:val="20"/>
                <w:szCs w:val="20"/>
                <w:u w:val="none"/>
                <w:lang w:val="en-US" w:eastAsia="zh-CN" w:bidi="ar"/>
              </w:rPr>
              <w:t>全年执行数（C）</w:t>
            </w:r>
          </w:p>
        </w:tc>
        <w:tc>
          <w:tcPr>
            <w:tcW w:w="1963"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i w:val="0"/>
                <w:iCs w:val="0"/>
                <w:color w:val="000000"/>
                <w:kern w:val="0"/>
                <w:sz w:val="20"/>
                <w:szCs w:val="20"/>
                <w:u w:val="none"/>
                <w:lang w:val="en-US" w:eastAsia="zh-CN" w:bidi="ar"/>
              </w:rPr>
              <w:t>执行率（C/B,%)</w:t>
            </w:r>
          </w:p>
        </w:tc>
      </w:tr>
      <w:tr>
        <w:tblPrEx>
          <w:tblCellMar>
            <w:top w:w="0" w:type="dxa"/>
            <w:left w:w="108" w:type="dxa"/>
            <w:bottom w:w="0" w:type="dxa"/>
            <w:right w:w="108" w:type="dxa"/>
          </w:tblCellMar>
        </w:tblPrEx>
        <w:trPr>
          <w:cantSplit/>
          <w:trHeight w:val="601" w:hRule="atLeast"/>
        </w:trPr>
        <w:tc>
          <w:tcPr>
            <w:tcW w:w="751" w:type="dxa"/>
            <w:vMerge w:val="continue"/>
            <w:tcBorders>
              <w:top w:val="nil"/>
              <w:left w:val="single" w:color="auto" w:sz="4" w:space="0"/>
              <w:bottom w:val="single" w:color="auto" w:sz="4" w:space="0"/>
              <w:right w:val="single" w:color="auto" w:sz="4" w:space="0"/>
            </w:tcBorders>
            <w:vAlign w:val="center"/>
          </w:tcPr>
          <w:p>
            <w:pPr>
              <w:jc w:val="center"/>
              <w:rPr>
                <w:rFonts w:hint="eastAsia" w:ascii="方正仿宋_GBK" w:hAnsi="方正仿宋_GBK" w:eastAsia="方正仿宋_GBK" w:cs="方正仿宋_GBK"/>
                <w:color w:val="000000"/>
                <w:sz w:val="18"/>
                <w:szCs w:val="18"/>
              </w:rPr>
            </w:pPr>
          </w:p>
        </w:tc>
        <w:tc>
          <w:tcPr>
            <w:tcW w:w="611" w:type="dxa"/>
            <w:tcBorders>
              <w:top w:val="nil"/>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i w:val="0"/>
                <w:iCs w:val="0"/>
                <w:color w:val="000000"/>
                <w:kern w:val="0"/>
                <w:sz w:val="20"/>
                <w:szCs w:val="20"/>
                <w:u w:val="none"/>
                <w:lang w:val="en-US" w:eastAsia="zh-CN" w:bidi="ar"/>
              </w:rPr>
              <w:t>总量</w:t>
            </w:r>
          </w:p>
        </w:tc>
        <w:tc>
          <w:tcPr>
            <w:tcW w:w="1864"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i w:val="0"/>
                <w:iCs w:val="0"/>
                <w:color w:val="000000"/>
                <w:kern w:val="0"/>
                <w:sz w:val="20"/>
                <w:szCs w:val="20"/>
                <w:u w:val="none"/>
                <w:lang w:val="en-US" w:eastAsia="zh-CN" w:bidi="ar"/>
              </w:rPr>
              <w:t>30</w:t>
            </w:r>
          </w:p>
        </w:tc>
        <w:tc>
          <w:tcPr>
            <w:tcW w:w="45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i w:val="0"/>
                <w:iCs w:val="0"/>
                <w:color w:val="000000"/>
                <w:kern w:val="0"/>
                <w:sz w:val="20"/>
                <w:szCs w:val="20"/>
                <w:u w:val="none"/>
                <w:lang w:val="en-US" w:eastAsia="zh-CN" w:bidi="ar"/>
              </w:rPr>
              <w:t>总量</w:t>
            </w:r>
          </w:p>
        </w:tc>
        <w:tc>
          <w:tcPr>
            <w:tcW w:w="1032"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rPr>
            </w:pPr>
            <w:r>
              <w:rPr>
                <w:rFonts w:hint="eastAsia" w:ascii="方正仿宋_GBK" w:hAnsi="方正仿宋_GBK" w:eastAsia="方正仿宋_GBK" w:cs="方正仿宋_GBK"/>
                <w:i w:val="0"/>
                <w:iCs w:val="0"/>
                <w:color w:val="000000"/>
                <w:kern w:val="0"/>
                <w:sz w:val="20"/>
                <w:szCs w:val="20"/>
                <w:u w:val="none"/>
                <w:lang w:val="en-US" w:eastAsia="zh-CN" w:bidi="ar"/>
              </w:rPr>
              <w:t>30</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i w:val="0"/>
                <w:iCs w:val="0"/>
                <w:color w:val="000000"/>
                <w:kern w:val="0"/>
                <w:sz w:val="20"/>
                <w:szCs w:val="20"/>
                <w:u w:val="none"/>
                <w:lang w:val="en-US" w:eastAsia="zh-CN" w:bidi="ar"/>
              </w:rPr>
              <w:t>总量</w:t>
            </w:r>
          </w:p>
        </w:tc>
        <w:tc>
          <w:tcPr>
            <w:tcW w:w="905"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i w:val="0"/>
                <w:iCs w:val="0"/>
                <w:color w:val="000000"/>
                <w:kern w:val="0"/>
                <w:sz w:val="20"/>
                <w:szCs w:val="20"/>
                <w:u w:val="none"/>
                <w:lang w:val="en-US" w:eastAsia="zh-CN" w:bidi="ar"/>
              </w:rPr>
              <w:t>30</w:t>
            </w:r>
          </w:p>
        </w:tc>
        <w:tc>
          <w:tcPr>
            <w:tcW w:w="1963"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i w:val="0"/>
                <w:iCs w:val="0"/>
                <w:color w:val="000000"/>
                <w:kern w:val="0"/>
                <w:sz w:val="20"/>
                <w:szCs w:val="20"/>
                <w:u w:val="none"/>
                <w:lang w:val="en-US" w:eastAsia="zh-CN" w:bidi="ar"/>
              </w:rPr>
              <w:t>100.00%</w:t>
            </w:r>
          </w:p>
        </w:tc>
      </w:tr>
      <w:tr>
        <w:tblPrEx>
          <w:tblCellMar>
            <w:top w:w="0" w:type="dxa"/>
            <w:left w:w="108" w:type="dxa"/>
            <w:bottom w:w="0" w:type="dxa"/>
            <w:right w:w="108" w:type="dxa"/>
          </w:tblCellMar>
        </w:tblPrEx>
        <w:trPr>
          <w:cantSplit/>
          <w:trHeight w:val="601" w:hRule="atLeast"/>
        </w:trPr>
        <w:tc>
          <w:tcPr>
            <w:tcW w:w="751"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hint="eastAsia" w:ascii="方正仿宋_GBK" w:hAnsi="方正仿宋_GBK" w:eastAsia="方正仿宋_GBK" w:cs="方正仿宋_GBK"/>
                <w:color w:val="000000"/>
                <w:sz w:val="18"/>
                <w:szCs w:val="18"/>
              </w:rPr>
            </w:pPr>
          </w:p>
        </w:tc>
        <w:tc>
          <w:tcPr>
            <w:tcW w:w="611" w:type="dxa"/>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i w:val="0"/>
                <w:iCs w:val="0"/>
                <w:color w:val="000000"/>
                <w:kern w:val="0"/>
                <w:sz w:val="20"/>
                <w:szCs w:val="20"/>
                <w:u w:val="none"/>
                <w:lang w:val="en-US" w:eastAsia="zh-CN" w:bidi="ar"/>
              </w:rPr>
              <w:t>其中：财政资金</w:t>
            </w:r>
          </w:p>
        </w:tc>
        <w:tc>
          <w:tcPr>
            <w:tcW w:w="1864"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rPr>
            </w:pPr>
            <w:r>
              <w:rPr>
                <w:rFonts w:hint="eastAsia" w:ascii="方正仿宋_GBK" w:hAnsi="方正仿宋_GBK" w:eastAsia="方正仿宋_GBK" w:cs="方正仿宋_GBK"/>
                <w:i w:val="0"/>
                <w:iCs w:val="0"/>
                <w:color w:val="000000"/>
                <w:kern w:val="0"/>
                <w:sz w:val="20"/>
                <w:szCs w:val="20"/>
                <w:u w:val="none"/>
                <w:lang w:val="en-US" w:eastAsia="zh-CN" w:bidi="ar"/>
              </w:rPr>
              <w:t>30.00</w:t>
            </w:r>
          </w:p>
        </w:tc>
        <w:tc>
          <w:tcPr>
            <w:tcW w:w="458" w:type="dxa"/>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i w:val="0"/>
                <w:iCs w:val="0"/>
                <w:color w:val="000000"/>
                <w:kern w:val="0"/>
                <w:sz w:val="20"/>
                <w:szCs w:val="20"/>
                <w:u w:val="none"/>
                <w:lang w:val="en-US" w:eastAsia="zh-CN" w:bidi="ar"/>
              </w:rPr>
              <w:t>其中：财政资金</w:t>
            </w:r>
          </w:p>
        </w:tc>
        <w:tc>
          <w:tcPr>
            <w:tcW w:w="1032"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rPr>
            </w:pPr>
            <w:r>
              <w:rPr>
                <w:rFonts w:hint="eastAsia" w:ascii="方正仿宋_GBK" w:hAnsi="方正仿宋_GBK" w:eastAsia="方正仿宋_GBK" w:cs="方正仿宋_GBK"/>
                <w:i w:val="0"/>
                <w:iCs w:val="0"/>
                <w:color w:val="000000"/>
                <w:kern w:val="0"/>
                <w:sz w:val="20"/>
                <w:szCs w:val="20"/>
                <w:u w:val="none"/>
                <w:lang w:val="en-US" w:eastAsia="zh-CN" w:bidi="ar"/>
              </w:rPr>
              <w:t>30</w:t>
            </w:r>
          </w:p>
        </w:tc>
        <w:tc>
          <w:tcPr>
            <w:tcW w:w="916"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rPr>
            </w:pPr>
            <w:r>
              <w:rPr>
                <w:rFonts w:hint="eastAsia" w:ascii="方正仿宋_GBK" w:hAnsi="方正仿宋_GBK" w:eastAsia="方正仿宋_GBK" w:cs="方正仿宋_GBK"/>
                <w:i w:val="0"/>
                <w:iCs w:val="0"/>
                <w:color w:val="000000"/>
                <w:kern w:val="0"/>
                <w:sz w:val="20"/>
                <w:szCs w:val="20"/>
                <w:u w:val="none"/>
                <w:lang w:val="en-US" w:eastAsia="zh-CN" w:bidi="ar"/>
              </w:rPr>
              <w:t>其中：财政资金</w:t>
            </w:r>
          </w:p>
        </w:tc>
        <w:tc>
          <w:tcPr>
            <w:tcW w:w="905"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i w:val="0"/>
                <w:iCs w:val="0"/>
                <w:color w:val="000000"/>
                <w:kern w:val="0"/>
                <w:sz w:val="20"/>
                <w:szCs w:val="20"/>
                <w:u w:val="none"/>
                <w:lang w:val="en-US" w:eastAsia="zh-CN" w:bidi="ar"/>
              </w:rPr>
              <w:t>30</w:t>
            </w:r>
          </w:p>
        </w:tc>
        <w:tc>
          <w:tcPr>
            <w:tcW w:w="1963"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rPr>
            </w:pPr>
            <w:r>
              <w:rPr>
                <w:rFonts w:hint="eastAsia" w:ascii="方正仿宋_GBK" w:hAnsi="方正仿宋_GBK" w:eastAsia="方正仿宋_GBK" w:cs="方正仿宋_GBK"/>
                <w:i w:val="0"/>
                <w:iCs w:val="0"/>
                <w:color w:val="000000"/>
                <w:kern w:val="0"/>
                <w:sz w:val="20"/>
                <w:szCs w:val="20"/>
                <w:u w:val="none"/>
                <w:lang w:val="en-US" w:eastAsia="zh-CN" w:bidi="ar"/>
              </w:rPr>
              <w:t>100.00%</w:t>
            </w:r>
          </w:p>
        </w:tc>
      </w:tr>
      <w:tr>
        <w:tblPrEx>
          <w:tblCellMar>
            <w:top w:w="0" w:type="dxa"/>
            <w:left w:w="108" w:type="dxa"/>
            <w:bottom w:w="0" w:type="dxa"/>
            <w:right w:w="108" w:type="dxa"/>
          </w:tblCellMar>
        </w:tblPrEx>
        <w:trPr>
          <w:cantSplit/>
          <w:trHeight w:val="1352" w:hRule="atLeast"/>
        </w:trPr>
        <w:tc>
          <w:tcPr>
            <w:tcW w:w="751" w:type="dxa"/>
            <w:vMerge w:val="restart"/>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i w:val="0"/>
                <w:iCs w:val="0"/>
                <w:color w:val="000000"/>
                <w:kern w:val="0"/>
                <w:sz w:val="20"/>
                <w:szCs w:val="20"/>
                <w:u w:val="none"/>
                <w:lang w:val="en-US" w:eastAsia="zh-CN" w:bidi="ar"/>
              </w:rPr>
              <w:t>年度总体目标</w:t>
            </w:r>
          </w:p>
        </w:tc>
        <w:tc>
          <w:tcPr>
            <w:tcW w:w="2933" w:type="dxa"/>
            <w:gridSpan w:val="4"/>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i w:val="0"/>
                <w:iCs w:val="0"/>
                <w:color w:val="000000"/>
                <w:kern w:val="0"/>
                <w:sz w:val="20"/>
                <w:szCs w:val="20"/>
                <w:u w:val="none"/>
                <w:lang w:val="en-US" w:eastAsia="zh-CN" w:bidi="ar"/>
              </w:rPr>
              <w:t>年初设定目标</w:t>
            </w:r>
          </w:p>
        </w:tc>
        <w:tc>
          <w:tcPr>
            <w:tcW w:w="2457" w:type="dxa"/>
            <w:gridSpan w:val="5"/>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i w:val="0"/>
                <w:iCs w:val="0"/>
                <w:color w:val="000000"/>
                <w:kern w:val="0"/>
                <w:sz w:val="20"/>
                <w:szCs w:val="20"/>
                <w:u w:val="none"/>
                <w:lang w:val="en-US" w:eastAsia="zh-CN" w:bidi="ar"/>
              </w:rPr>
              <w:t>调整绩效目标</w:t>
            </w:r>
          </w:p>
        </w:tc>
        <w:tc>
          <w:tcPr>
            <w:tcW w:w="235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i w:val="0"/>
                <w:iCs w:val="0"/>
                <w:color w:val="000000"/>
                <w:kern w:val="0"/>
                <w:sz w:val="20"/>
                <w:szCs w:val="20"/>
                <w:u w:val="none"/>
                <w:lang w:val="en-US" w:eastAsia="zh-CN" w:bidi="ar"/>
              </w:rPr>
              <w:t>全年目标实际完成情况</w:t>
            </w:r>
          </w:p>
        </w:tc>
      </w:tr>
      <w:tr>
        <w:tblPrEx>
          <w:tblCellMar>
            <w:top w:w="0" w:type="dxa"/>
            <w:left w:w="108" w:type="dxa"/>
            <w:bottom w:w="0" w:type="dxa"/>
            <w:right w:w="108" w:type="dxa"/>
          </w:tblCellMar>
        </w:tblPrEx>
        <w:trPr>
          <w:cantSplit/>
          <w:trHeight w:val="601" w:hRule="atLeast"/>
        </w:trPr>
        <w:tc>
          <w:tcPr>
            <w:tcW w:w="751"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hint="eastAsia" w:ascii="方正仿宋_GBK" w:hAnsi="方正仿宋_GBK" w:eastAsia="方正仿宋_GBK" w:cs="方正仿宋_GBK"/>
                <w:color w:val="000000"/>
                <w:sz w:val="18"/>
                <w:szCs w:val="18"/>
              </w:rPr>
            </w:pPr>
          </w:p>
        </w:tc>
        <w:tc>
          <w:tcPr>
            <w:tcW w:w="2933" w:type="dxa"/>
            <w:gridSpan w:val="4"/>
            <w:tcBorders>
              <w:top w:val="nil"/>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i w:val="0"/>
                <w:iCs w:val="0"/>
                <w:color w:val="000000"/>
                <w:kern w:val="0"/>
                <w:sz w:val="20"/>
                <w:szCs w:val="20"/>
                <w:u w:val="none"/>
                <w:lang w:val="en-US" w:eastAsia="zh-CN" w:bidi="ar"/>
              </w:rPr>
              <w:t>登记患者管理率达90%以上，规范管理率达80%以上，面访率达到80%以上，服药率达到80%以上,规律服药率达60%以上，精神分裂症患者服药率到达70%以上，精神分裂症患者规律服药率达50%以上。</w:t>
            </w:r>
          </w:p>
        </w:tc>
        <w:tc>
          <w:tcPr>
            <w:tcW w:w="2457" w:type="dxa"/>
            <w:gridSpan w:val="5"/>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i w:val="0"/>
                <w:iCs w:val="0"/>
                <w:color w:val="000000"/>
                <w:kern w:val="0"/>
                <w:sz w:val="20"/>
                <w:szCs w:val="20"/>
                <w:u w:val="none"/>
                <w:lang w:val="en-US" w:eastAsia="zh-CN" w:bidi="ar"/>
              </w:rPr>
              <w:t>无</w:t>
            </w:r>
          </w:p>
        </w:tc>
        <w:tc>
          <w:tcPr>
            <w:tcW w:w="2359" w:type="dxa"/>
            <w:gridSpan w:val="3"/>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i w:val="0"/>
                <w:iCs w:val="0"/>
                <w:color w:val="000000"/>
                <w:kern w:val="0"/>
                <w:sz w:val="20"/>
                <w:szCs w:val="20"/>
                <w:u w:val="none"/>
                <w:lang w:val="en-US" w:eastAsia="zh-CN" w:bidi="ar"/>
              </w:rPr>
              <w:t>严重精神障碍患者规范管理率达80%，排查数量382人，精神分裂症患者服药率到达70%，完成了本年度目标</w:t>
            </w:r>
          </w:p>
        </w:tc>
      </w:tr>
      <w:tr>
        <w:tblPrEx>
          <w:tblCellMar>
            <w:top w:w="0" w:type="dxa"/>
            <w:left w:w="108" w:type="dxa"/>
            <w:bottom w:w="0" w:type="dxa"/>
            <w:right w:w="108" w:type="dxa"/>
          </w:tblCellMar>
        </w:tblPrEx>
        <w:trPr>
          <w:cantSplit/>
          <w:trHeight w:val="523" w:hRule="atLeast"/>
        </w:trPr>
        <w:tc>
          <w:tcPr>
            <w:tcW w:w="751" w:type="dxa"/>
            <w:vMerge w:val="restart"/>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i w:val="0"/>
                <w:iCs w:val="0"/>
                <w:color w:val="000000"/>
                <w:kern w:val="0"/>
                <w:sz w:val="20"/>
                <w:szCs w:val="20"/>
                <w:u w:val="none"/>
                <w:lang w:val="en-US" w:eastAsia="zh-CN" w:bidi="ar"/>
              </w:rPr>
              <w:t>绩效指标</w:t>
            </w:r>
          </w:p>
        </w:tc>
        <w:tc>
          <w:tcPr>
            <w:tcW w:w="611" w:type="dxa"/>
            <w:tcBorders>
              <w:top w:val="nil"/>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i w:val="0"/>
                <w:iCs w:val="0"/>
                <w:color w:val="000000"/>
                <w:kern w:val="0"/>
                <w:sz w:val="20"/>
                <w:szCs w:val="20"/>
                <w:u w:val="none"/>
                <w:lang w:val="en-US" w:eastAsia="zh-CN" w:bidi="ar"/>
              </w:rPr>
              <w:t>指标类型</w:t>
            </w:r>
          </w:p>
        </w:tc>
        <w:tc>
          <w:tcPr>
            <w:tcW w:w="1188" w:type="dxa"/>
            <w:tcBorders>
              <w:top w:val="nil"/>
              <w:left w:val="single" w:color="auto" w:sz="4" w:space="0"/>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i w:val="0"/>
                <w:iCs w:val="0"/>
                <w:color w:val="000000"/>
                <w:kern w:val="0"/>
                <w:sz w:val="20"/>
                <w:szCs w:val="20"/>
                <w:u w:val="none"/>
                <w:lang w:val="en-US" w:eastAsia="zh-CN" w:bidi="ar"/>
              </w:rPr>
              <w:t>指标名称</w:t>
            </w:r>
          </w:p>
        </w:tc>
        <w:tc>
          <w:tcPr>
            <w:tcW w:w="676" w:type="dxa"/>
            <w:tcBorders>
              <w:top w:val="nil"/>
              <w:left w:val="single" w:color="auto" w:sz="4" w:space="0"/>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i w:val="0"/>
                <w:iCs w:val="0"/>
                <w:color w:val="000000"/>
                <w:kern w:val="0"/>
                <w:sz w:val="20"/>
                <w:szCs w:val="20"/>
                <w:u w:val="none"/>
                <w:lang w:val="en-US" w:eastAsia="zh-CN" w:bidi="ar"/>
              </w:rPr>
              <w:t>年度指标值</w:t>
            </w:r>
          </w:p>
        </w:tc>
        <w:tc>
          <w:tcPr>
            <w:tcW w:w="458" w:type="dxa"/>
            <w:tcBorders>
              <w:top w:val="nil"/>
              <w:left w:val="single" w:color="auto" w:sz="4" w:space="0"/>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i w:val="0"/>
                <w:iCs w:val="0"/>
                <w:color w:val="000000"/>
                <w:kern w:val="0"/>
                <w:sz w:val="20"/>
                <w:szCs w:val="20"/>
                <w:u w:val="none"/>
                <w:lang w:val="en-US" w:eastAsia="zh-CN" w:bidi="ar"/>
              </w:rPr>
              <w:t>调整后指标值（未调不填）</w:t>
            </w:r>
          </w:p>
        </w:tc>
        <w:tc>
          <w:tcPr>
            <w:tcW w:w="510" w:type="dxa"/>
            <w:tcBorders>
              <w:top w:val="nil"/>
              <w:left w:val="single" w:color="auto" w:sz="4" w:space="0"/>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i w:val="0"/>
                <w:iCs w:val="0"/>
                <w:color w:val="000000"/>
                <w:kern w:val="0"/>
                <w:sz w:val="20"/>
                <w:szCs w:val="20"/>
                <w:u w:val="none"/>
                <w:lang w:val="en-US" w:eastAsia="zh-CN" w:bidi="ar"/>
              </w:rPr>
              <w:t>本阶段目标值</w:t>
            </w:r>
          </w:p>
        </w:tc>
        <w:tc>
          <w:tcPr>
            <w:tcW w:w="522" w:type="dxa"/>
            <w:tcBorders>
              <w:top w:val="nil"/>
              <w:left w:val="single" w:color="auto" w:sz="4" w:space="0"/>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i w:val="0"/>
                <w:iCs w:val="0"/>
                <w:color w:val="000000"/>
                <w:kern w:val="0"/>
                <w:sz w:val="20"/>
                <w:szCs w:val="20"/>
                <w:u w:val="none"/>
                <w:lang w:val="en-US" w:eastAsia="zh-CN" w:bidi="ar"/>
              </w:rPr>
              <w:t>本阶段实际完成</w:t>
            </w:r>
          </w:p>
        </w:tc>
        <w:tc>
          <w:tcPr>
            <w:tcW w:w="508" w:type="dxa"/>
            <w:tcBorders>
              <w:top w:val="nil"/>
              <w:left w:val="single" w:color="auto" w:sz="4" w:space="0"/>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i w:val="0"/>
                <w:iCs w:val="0"/>
                <w:color w:val="000000"/>
                <w:kern w:val="0"/>
                <w:sz w:val="20"/>
                <w:szCs w:val="20"/>
                <w:u w:val="none"/>
                <w:lang w:val="en-US" w:eastAsia="zh-CN" w:bidi="ar"/>
              </w:rPr>
              <w:t>本阶段完成比例</w:t>
            </w:r>
          </w:p>
        </w:tc>
        <w:tc>
          <w:tcPr>
            <w:tcW w:w="408" w:type="dxa"/>
            <w:tcBorders>
              <w:top w:val="nil"/>
              <w:left w:val="single" w:color="auto" w:sz="4" w:space="0"/>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rPr>
            </w:pPr>
            <w:r>
              <w:rPr>
                <w:rFonts w:hint="eastAsia" w:ascii="方正仿宋_GBK" w:hAnsi="方正仿宋_GBK" w:eastAsia="方正仿宋_GBK" w:cs="方正仿宋_GBK"/>
                <w:i w:val="0"/>
                <w:iCs w:val="0"/>
                <w:color w:val="000000"/>
                <w:kern w:val="0"/>
                <w:sz w:val="20"/>
                <w:szCs w:val="20"/>
                <w:u w:val="none"/>
                <w:lang w:val="en-US" w:eastAsia="zh-CN" w:bidi="ar"/>
              </w:rPr>
              <w:t>权重</w:t>
            </w:r>
          </w:p>
        </w:tc>
        <w:tc>
          <w:tcPr>
            <w:tcW w:w="509" w:type="dxa"/>
            <w:tcBorders>
              <w:top w:val="nil"/>
              <w:left w:val="single" w:color="auto" w:sz="4" w:space="0"/>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i w:val="0"/>
                <w:iCs w:val="0"/>
                <w:color w:val="000000"/>
                <w:kern w:val="0"/>
                <w:sz w:val="20"/>
                <w:szCs w:val="20"/>
                <w:u w:val="none"/>
                <w:lang w:val="en-US" w:eastAsia="zh-CN" w:bidi="ar"/>
              </w:rPr>
              <w:t>自评得分</w:t>
            </w:r>
          </w:p>
        </w:tc>
        <w:tc>
          <w:tcPr>
            <w:tcW w:w="396" w:type="dxa"/>
            <w:tcBorders>
              <w:top w:val="nil"/>
              <w:left w:val="single" w:color="auto" w:sz="4" w:space="0"/>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rPr>
            </w:pPr>
            <w:r>
              <w:rPr>
                <w:rFonts w:hint="eastAsia" w:ascii="方正仿宋_GBK" w:hAnsi="方正仿宋_GBK" w:eastAsia="方正仿宋_GBK" w:cs="方正仿宋_GBK"/>
                <w:i w:val="0"/>
                <w:iCs w:val="0"/>
                <w:color w:val="000000"/>
                <w:kern w:val="0"/>
                <w:sz w:val="20"/>
                <w:szCs w:val="20"/>
                <w:u w:val="none"/>
                <w:lang w:val="en-US" w:eastAsia="zh-CN" w:bidi="ar"/>
              </w:rPr>
              <w:t>审核得分</w:t>
            </w:r>
          </w:p>
        </w:tc>
        <w:tc>
          <w:tcPr>
            <w:tcW w:w="1147" w:type="dxa"/>
            <w:tcBorders>
              <w:top w:val="nil"/>
              <w:left w:val="single" w:color="auto" w:sz="4" w:space="0"/>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i w:val="0"/>
                <w:iCs w:val="0"/>
                <w:color w:val="000000"/>
                <w:kern w:val="0"/>
                <w:sz w:val="20"/>
                <w:szCs w:val="20"/>
                <w:u w:val="none"/>
                <w:lang w:val="en-US" w:eastAsia="zh-CN" w:bidi="ar"/>
              </w:rPr>
              <w:t>未完成原因</w:t>
            </w:r>
          </w:p>
        </w:tc>
        <w:tc>
          <w:tcPr>
            <w:tcW w:w="816"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i w:val="0"/>
                <w:iCs w:val="0"/>
                <w:color w:val="000000"/>
                <w:kern w:val="0"/>
                <w:sz w:val="20"/>
                <w:szCs w:val="20"/>
                <w:u w:val="none"/>
                <w:lang w:val="en-US" w:eastAsia="zh-CN" w:bidi="ar"/>
              </w:rPr>
              <w:t>改进措施</w:t>
            </w:r>
          </w:p>
        </w:tc>
      </w:tr>
      <w:tr>
        <w:tblPrEx>
          <w:tblCellMar>
            <w:top w:w="0" w:type="dxa"/>
            <w:left w:w="108" w:type="dxa"/>
            <w:bottom w:w="0" w:type="dxa"/>
            <w:right w:w="108" w:type="dxa"/>
          </w:tblCellMar>
        </w:tblPrEx>
        <w:trPr>
          <w:cantSplit/>
          <w:trHeight w:val="523" w:hRule="atLeast"/>
        </w:trPr>
        <w:tc>
          <w:tcPr>
            <w:tcW w:w="751" w:type="dxa"/>
            <w:vMerge w:val="continue"/>
            <w:tcBorders>
              <w:top w:val="nil"/>
              <w:left w:val="single" w:color="auto" w:sz="4" w:space="0"/>
              <w:bottom w:val="single" w:color="auto" w:sz="4" w:space="0"/>
              <w:right w:val="single" w:color="auto" w:sz="4" w:space="0"/>
            </w:tcBorders>
            <w:vAlign w:val="center"/>
          </w:tcPr>
          <w:p>
            <w:pPr>
              <w:jc w:val="center"/>
              <w:rPr>
                <w:rFonts w:hint="eastAsia" w:ascii="方正仿宋_GBK" w:hAnsi="方正仿宋_GBK" w:eastAsia="方正仿宋_GBK" w:cs="方正仿宋_GBK"/>
                <w:color w:val="000000"/>
                <w:sz w:val="18"/>
                <w:szCs w:val="18"/>
              </w:rPr>
            </w:pPr>
          </w:p>
        </w:tc>
        <w:tc>
          <w:tcPr>
            <w:tcW w:w="611" w:type="dxa"/>
            <w:tcBorders>
              <w:top w:val="nil"/>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i w:val="0"/>
                <w:iCs w:val="0"/>
                <w:color w:val="000000"/>
                <w:kern w:val="0"/>
                <w:sz w:val="20"/>
                <w:szCs w:val="20"/>
                <w:u w:val="none"/>
                <w:lang w:val="en-US" w:eastAsia="zh-CN" w:bidi="ar"/>
              </w:rPr>
              <w:t>产出指标</w:t>
            </w:r>
          </w:p>
        </w:tc>
        <w:tc>
          <w:tcPr>
            <w:tcW w:w="1188" w:type="dxa"/>
            <w:tcBorders>
              <w:top w:val="nil"/>
              <w:left w:val="single" w:color="auto" w:sz="4" w:space="0"/>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i w:val="0"/>
                <w:iCs w:val="0"/>
                <w:color w:val="000000"/>
                <w:kern w:val="0"/>
                <w:sz w:val="20"/>
                <w:szCs w:val="20"/>
                <w:u w:val="none"/>
                <w:lang w:val="en-US" w:eastAsia="zh-CN" w:bidi="ar"/>
              </w:rPr>
              <w:t>严重精神障碍排查数量</w:t>
            </w:r>
          </w:p>
        </w:tc>
        <w:tc>
          <w:tcPr>
            <w:tcW w:w="676" w:type="dxa"/>
            <w:tcBorders>
              <w:top w:val="nil"/>
              <w:left w:val="single" w:color="auto" w:sz="4" w:space="0"/>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i w:val="0"/>
                <w:iCs w:val="0"/>
                <w:color w:val="000000"/>
                <w:kern w:val="0"/>
                <w:sz w:val="20"/>
                <w:szCs w:val="20"/>
                <w:u w:val="none"/>
                <w:lang w:val="en-US" w:eastAsia="zh-CN" w:bidi="ar"/>
              </w:rPr>
              <w:t>380人</w:t>
            </w:r>
          </w:p>
        </w:tc>
        <w:tc>
          <w:tcPr>
            <w:tcW w:w="458" w:type="dxa"/>
            <w:tcBorders>
              <w:top w:val="nil"/>
              <w:left w:val="single" w:color="auto" w:sz="4" w:space="0"/>
              <w:bottom w:val="single" w:color="auto" w:sz="4" w:space="0"/>
              <w:right w:val="nil"/>
            </w:tcBorders>
            <w:shd w:val="clear" w:color="auto" w:fill="auto"/>
            <w:vAlign w:val="center"/>
          </w:tcPr>
          <w:p>
            <w:pPr>
              <w:rPr>
                <w:rFonts w:hint="eastAsia" w:ascii="方正仿宋_GBK" w:hAnsi="方正仿宋_GBK" w:eastAsia="方正仿宋_GBK" w:cs="方正仿宋_GBK"/>
                <w:color w:val="000000"/>
                <w:sz w:val="18"/>
                <w:szCs w:val="18"/>
              </w:rPr>
            </w:pPr>
          </w:p>
        </w:tc>
        <w:tc>
          <w:tcPr>
            <w:tcW w:w="510" w:type="dxa"/>
            <w:tcBorders>
              <w:top w:val="nil"/>
              <w:left w:val="single" w:color="auto" w:sz="4" w:space="0"/>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i w:val="0"/>
                <w:iCs w:val="0"/>
                <w:color w:val="000000"/>
                <w:kern w:val="0"/>
                <w:sz w:val="20"/>
                <w:szCs w:val="20"/>
                <w:u w:val="none"/>
                <w:lang w:val="en-US" w:eastAsia="zh-CN" w:bidi="ar"/>
              </w:rPr>
              <w:t>380人</w:t>
            </w:r>
          </w:p>
        </w:tc>
        <w:tc>
          <w:tcPr>
            <w:tcW w:w="522" w:type="dxa"/>
            <w:tcBorders>
              <w:top w:val="nil"/>
              <w:left w:val="single" w:color="auto" w:sz="4" w:space="0"/>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i w:val="0"/>
                <w:iCs w:val="0"/>
                <w:color w:val="000000"/>
                <w:kern w:val="0"/>
                <w:sz w:val="20"/>
                <w:szCs w:val="20"/>
                <w:u w:val="none"/>
                <w:lang w:val="en-US" w:eastAsia="zh-CN" w:bidi="ar"/>
              </w:rPr>
              <w:t>382人</w:t>
            </w:r>
          </w:p>
        </w:tc>
        <w:tc>
          <w:tcPr>
            <w:tcW w:w="508" w:type="dxa"/>
            <w:tcBorders>
              <w:top w:val="nil"/>
              <w:left w:val="single" w:color="auto" w:sz="4" w:space="0"/>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i w:val="0"/>
                <w:iCs w:val="0"/>
                <w:color w:val="000000"/>
                <w:kern w:val="0"/>
                <w:sz w:val="20"/>
                <w:szCs w:val="20"/>
                <w:u w:val="none"/>
                <w:lang w:val="en-US" w:eastAsia="zh-CN" w:bidi="ar"/>
              </w:rPr>
              <w:t>100%</w:t>
            </w:r>
          </w:p>
        </w:tc>
        <w:tc>
          <w:tcPr>
            <w:tcW w:w="408" w:type="dxa"/>
            <w:tcBorders>
              <w:top w:val="nil"/>
              <w:left w:val="single" w:color="auto" w:sz="4" w:space="0"/>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rPr>
            </w:pPr>
            <w:r>
              <w:rPr>
                <w:rFonts w:hint="eastAsia" w:ascii="方正仿宋_GBK" w:hAnsi="方正仿宋_GBK" w:eastAsia="方正仿宋_GBK" w:cs="方正仿宋_GBK"/>
                <w:i w:val="0"/>
                <w:iCs w:val="0"/>
                <w:color w:val="000000"/>
                <w:kern w:val="0"/>
                <w:sz w:val="20"/>
                <w:szCs w:val="20"/>
                <w:u w:val="none"/>
                <w:lang w:val="en-US" w:eastAsia="zh-CN" w:bidi="ar"/>
              </w:rPr>
              <w:t>20</w:t>
            </w:r>
          </w:p>
        </w:tc>
        <w:tc>
          <w:tcPr>
            <w:tcW w:w="509" w:type="dxa"/>
            <w:tcBorders>
              <w:top w:val="nil"/>
              <w:left w:val="single" w:color="auto" w:sz="4" w:space="0"/>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i w:val="0"/>
                <w:iCs w:val="0"/>
                <w:color w:val="000000"/>
                <w:kern w:val="0"/>
                <w:sz w:val="20"/>
                <w:szCs w:val="20"/>
                <w:u w:val="none"/>
                <w:lang w:val="en-US" w:eastAsia="zh-CN" w:bidi="ar"/>
              </w:rPr>
              <w:t>20</w:t>
            </w:r>
          </w:p>
        </w:tc>
        <w:tc>
          <w:tcPr>
            <w:tcW w:w="396" w:type="dxa"/>
            <w:tcBorders>
              <w:top w:val="nil"/>
              <w:left w:val="single" w:color="auto" w:sz="4" w:space="0"/>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rPr>
            </w:pPr>
            <w:r>
              <w:rPr>
                <w:rFonts w:hint="eastAsia" w:ascii="方正仿宋_GBK" w:hAnsi="方正仿宋_GBK" w:eastAsia="方正仿宋_GBK" w:cs="方正仿宋_GBK"/>
                <w:i w:val="0"/>
                <w:iCs w:val="0"/>
                <w:color w:val="000000"/>
                <w:kern w:val="0"/>
                <w:sz w:val="20"/>
                <w:szCs w:val="20"/>
                <w:u w:val="none"/>
                <w:lang w:val="en-US" w:eastAsia="zh-CN" w:bidi="ar"/>
              </w:rPr>
              <w:t>20</w:t>
            </w:r>
          </w:p>
        </w:tc>
        <w:tc>
          <w:tcPr>
            <w:tcW w:w="1147" w:type="dxa"/>
            <w:tcBorders>
              <w:top w:val="nil"/>
              <w:left w:val="single" w:color="auto" w:sz="4" w:space="0"/>
              <w:bottom w:val="single" w:color="auto" w:sz="4" w:space="0"/>
              <w:right w:val="nil"/>
            </w:tcBorders>
            <w:shd w:val="clear" w:color="auto" w:fill="auto"/>
            <w:vAlign w:val="center"/>
          </w:tcPr>
          <w:p>
            <w:pPr>
              <w:rPr>
                <w:rFonts w:hint="eastAsia" w:ascii="方正仿宋_GBK" w:hAnsi="方正仿宋_GBK" w:eastAsia="方正仿宋_GBK" w:cs="方正仿宋_GBK"/>
                <w:color w:val="000000"/>
                <w:sz w:val="18"/>
                <w:szCs w:val="18"/>
              </w:rPr>
            </w:pPr>
          </w:p>
        </w:tc>
        <w:tc>
          <w:tcPr>
            <w:tcW w:w="816" w:type="dxa"/>
            <w:tcBorders>
              <w:top w:val="nil"/>
              <w:left w:val="single" w:color="auto" w:sz="4" w:space="0"/>
              <w:bottom w:val="single" w:color="auto" w:sz="4" w:space="0"/>
              <w:right w:val="single" w:color="auto" w:sz="4" w:space="0"/>
            </w:tcBorders>
            <w:shd w:val="clear" w:color="auto" w:fill="auto"/>
            <w:vAlign w:val="center"/>
          </w:tcPr>
          <w:p>
            <w:pPr>
              <w:rPr>
                <w:rFonts w:hint="eastAsia" w:ascii="方正仿宋_GBK" w:hAnsi="方正仿宋_GBK" w:eastAsia="方正仿宋_GBK" w:cs="方正仿宋_GBK"/>
                <w:color w:val="000000"/>
                <w:sz w:val="18"/>
                <w:szCs w:val="18"/>
              </w:rPr>
            </w:pPr>
          </w:p>
        </w:tc>
      </w:tr>
      <w:tr>
        <w:tblPrEx>
          <w:tblCellMar>
            <w:top w:w="0" w:type="dxa"/>
            <w:left w:w="108" w:type="dxa"/>
            <w:bottom w:w="0" w:type="dxa"/>
            <w:right w:w="108" w:type="dxa"/>
          </w:tblCellMar>
        </w:tblPrEx>
        <w:trPr>
          <w:cantSplit/>
          <w:trHeight w:val="523" w:hRule="atLeast"/>
        </w:trPr>
        <w:tc>
          <w:tcPr>
            <w:tcW w:w="751" w:type="dxa"/>
            <w:vMerge w:val="continue"/>
            <w:tcBorders>
              <w:top w:val="nil"/>
              <w:left w:val="single" w:color="auto" w:sz="4" w:space="0"/>
              <w:bottom w:val="single" w:color="auto" w:sz="4" w:space="0"/>
              <w:right w:val="single" w:color="auto" w:sz="4" w:space="0"/>
            </w:tcBorders>
            <w:vAlign w:val="center"/>
          </w:tcPr>
          <w:p>
            <w:pPr>
              <w:jc w:val="center"/>
              <w:rPr>
                <w:rFonts w:hint="eastAsia" w:ascii="方正仿宋_GBK" w:hAnsi="方正仿宋_GBK" w:eastAsia="方正仿宋_GBK" w:cs="方正仿宋_GBK"/>
                <w:color w:val="000000"/>
                <w:sz w:val="18"/>
                <w:szCs w:val="18"/>
              </w:rPr>
            </w:pPr>
          </w:p>
        </w:tc>
        <w:tc>
          <w:tcPr>
            <w:tcW w:w="611" w:type="dxa"/>
            <w:tcBorders>
              <w:top w:val="nil"/>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i w:val="0"/>
                <w:iCs w:val="0"/>
                <w:color w:val="000000"/>
                <w:kern w:val="0"/>
                <w:sz w:val="20"/>
                <w:szCs w:val="20"/>
                <w:u w:val="none"/>
                <w:lang w:val="en-US" w:eastAsia="zh-CN" w:bidi="ar"/>
              </w:rPr>
              <w:t>产出指标</w:t>
            </w:r>
          </w:p>
        </w:tc>
        <w:tc>
          <w:tcPr>
            <w:tcW w:w="1188" w:type="dxa"/>
            <w:tcBorders>
              <w:top w:val="nil"/>
              <w:left w:val="single" w:color="auto" w:sz="4" w:space="0"/>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i w:val="0"/>
                <w:iCs w:val="0"/>
                <w:color w:val="000000"/>
                <w:kern w:val="0"/>
                <w:sz w:val="20"/>
                <w:szCs w:val="20"/>
                <w:u w:val="none"/>
                <w:lang w:val="en-US" w:eastAsia="zh-CN" w:bidi="ar"/>
              </w:rPr>
              <w:t>精神分裂症患者服药率</w:t>
            </w:r>
          </w:p>
        </w:tc>
        <w:tc>
          <w:tcPr>
            <w:tcW w:w="676" w:type="dxa"/>
            <w:tcBorders>
              <w:top w:val="nil"/>
              <w:left w:val="single" w:color="auto" w:sz="4" w:space="0"/>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i w:val="0"/>
                <w:iCs w:val="0"/>
                <w:color w:val="000000"/>
                <w:kern w:val="0"/>
                <w:sz w:val="20"/>
                <w:szCs w:val="20"/>
                <w:u w:val="none"/>
                <w:lang w:val="en-US" w:eastAsia="zh-CN" w:bidi="ar"/>
              </w:rPr>
              <w:t>70%</w:t>
            </w:r>
          </w:p>
        </w:tc>
        <w:tc>
          <w:tcPr>
            <w:tcW w:w="458" w:type="dxa"/>
            <w:tcBorders>
              <w:top w:val="nil"/>
              <w:left w:val="single" w:color="auto" w:sz="4" w:space="0"/>
              <w:bottom w:val="single" w:color="auto" w:sz="4" w:space="0"/>
              <w:right w:val="nil"/>
            </w:tcBorders>
            <w:shd w:val="clear" w:color="auto" w:fill="auto"/>
            <w:vAlign w:val="center"/>
          </w:tcPr>
          <w:p>
            <w:pPr>
              <w:rPr>
                <w:rFonts w:hint="eastAsia" w:ascii="方正仿宋_GBK" w:hAnsi="方正仿宋_GBK" w:eastAsia="方正仿宋_GBK" w:cs="方正仿宋_GBK"/>
                <w:color w:val="000000"/>
                <w:sz w:val="18"/>
                <w:szCs w:val="18"/>
              </w:rPr>
            </w:pPr>
          </w:p>
        </w:tc>
        <w:tc>
          <w:tcPr>
            <w:tcW w:w="510" w:type="dxa"/>
            <w:tcBorders>
              <w:top w:val="nil"/>
              <w:left w:val="single" w:color="auto" w:sz="4" w:space="0"/>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i w:val="0"/>
                <w:iCs w:val="0"/>
                <w:color w:val="000000"/>
                <w:kern w:val="0"/>
                <w:sz w:val="20"/>
                <w:szCs w:val="20"/>
                <w:u w:val="none"/>
                <w:lang w:val="en-US" w:eastAsia="zh-CN" w:bidi="ar"/>
              </w:rPr>
              <w:t>70%</w:t>
            </w:r>
          </w:p>
        </w:tc>
        <w:tc>
          <w:tcPr>
            <w:tcW w:w="522" w:type="dxa"/>
            <w:tcBorders>
              <w:top w:val="nil"/>
              <w:left w:val="single" w:color="auto" w:sz="4" w:space="0"/>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i w:val="0"/>
                <w:iCs w:val="0"/>
                <w:color w:val="000000"/>
                <w:kern w:val="0"/>
                <w:sz w:val="20"/>
                <w:szCs w:val="20"/>
                <w:u w:val="none"/>
                <w:lang w:val="en-US" w:eastAsia="zh-CN" w:bidi="ar"/>
              </w:rPr>
              <w:t>70%</w:t>
            </w:r>
          </w:p>
        </w:tc>
        <w:tc>
          <w:tcPr>
            <w:tcW w:w="508" w:type="dxa"/>
            <w:tcBorders>
              <w:top w:val="nil"/>
              <w:left w:val="single" w:color="auto" w:sz="4" w:space="0"/>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i w:val="0"/>
                <w:iCs w:val="0"/>
                <w:color w:val="000000"/>
                <w:kern w:val="0"/>
                <w:sz w:val="20"/>
                <w:szCs w:val="20"/>
                <w:u w:val="none"/>
                <w:lang w:val="en-US" w:eastAsia="zh-CN" w:bidi="ar"/>
              </w:rPr>
              <w:t>70%</w:t>
            </w:r>
          </w:p>
        </w:tc>
        <w:tc>
          <w:tcPr>
            <w:tcW w:w="408" w:type="dxa"/>
            <w:tcBorders>
              <w:top w:val="nil"/>
              <w:left w:val="single" w:color="auto" w:sz="4" w:space="0"/>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rPr>
            </w:pPr>
            <w:r>
              <w:rPr>
                <w:rFonts w:hint="eastAsia" w:ascii="方正仿宋_GBK" w:hAnsi="方正仿宋_GBK" w:eastAsia="方正仿宋_GBK" w:cs="方正仿宋_GBK"/>
                <w:i w:val="0"/>
                <w:iCs w:val="0"/>
                <w:color w:val="000000"/>
                <w:kern w:val="0"/>
                <w:sz w:val="20"/>
                <w:szCs w:val="20"/>
                <w:u w:val="none"/>
                <w:lang w:val="en-US" w:eastAsia="zh-CN" w:bidi="ar"/>
              </w:rPr>
              <w:t>20</w:t>
            </w:r>
          </w:p>
        </w:tc>
        <w:tc>
          <w:tcPr>
            <w:tcW w:w="509" w:type="dxa"/>
            <w:tcBorders>
              <w:top w:val="nil"/>
              <w:left w:val="single" w:color="auto" w:sz="4" w:space="0"/>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i w:val="0"/>
                <w:iCs w:val="0"/>
                <w:color w:val="000000"/>
                <w:kern w:val="0"/>
                <w:sz w:val="20"/>
                <w:szCs w:val="20"/>
                <w:u w:val="none"/>
                <w:lang w:val="en-US" w:eastAsia="zh-CN" w:bidi="ar"/>
              </w:rPr>
              <w:t>20</w:t>
            </w:r>
          </w:p>
        </w:tc>
        <w:tc>
          <w:tcPr>
            <w:tcW w:w="396" w:type="dxa"/>
            <w:tcBorders>
              <w:top w:val="nil"/>
              <w:left w:val="single" w:color="auto" w:sz="4" w:space="0"/>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rPr>
            </w:pPr>
            <w:r>
              <w:rPr>
                <w:rFonts w:hint="eastAsia" w:ascii="方正仿宋_GBK" w:hAnsi="方正仿宋_GBK" w:eastAsia="方正仿宋_GBK" w:cs="方正仿宋_GBK"/>
                <w:i w:val="0"/>
                <w:iCs w:val="0"/>
                <w:color w:val="000000"/>
                <w:kern w:val="0"/>
                <w:sz w:val="20"/>
                <w:szCs w:val="20"/>
                <w:u w:val="none"/>
                <w:lang w:val="en-US" w:eastAsia="zh-CN" w:bidi="ar"/>
              </w:rPr>
              <w:t>20</w:t>
            </w:r>
          </w:p>
        </w:tc>
        <w:tc>
          <w:tcPr>
            <w:tcW w:w="1147" w:type="dxa"/>
            <w:tcBorders>
              <w:top w:val="nil"/>
              <w:left w:val="single" w:color="auto" w:sz="4" w:space="0"/>
              <w:bottom w:val="single" w:color="auto" w:sz="4" w:space="0"/>
              <w:right w:val="nil"/>
            </w:tcBorders>
            <w:shd w:val="clear" w:color="auto" w:fill="auto"/>
            <w:vAlign w:val="center"/>
          </w:tcPr>
          <w:p>
            <w:pPr>
              <w:rPr>
                <w:rFonts w:hint="eastAsia" w:ascii="方正仿宋_GBK" w:hAnsi="方正仿宋_GBK" w:eastAsia="方正仿宋_GBK" w:cs="方正仿宋_GBK"/>
                <w:color w:val="000000"/>
                <w:sz w:val="18"/>
                <w:szCs w:val="18"/>
              </w:rPr>
            </w:pPr>
          </w:p>
        </w:tc>
        <w:tc>
          <w:tcPr>
            <w:tcW w:w="816" w:type="dxa"/>
            <w:tcBorders>
              <w:top w:val="nil"/>
              <w:left w:val="single" w:color="auto" w:sz="4" w:space="0"/>
              <w:bottom w:val="single" w:color="auto" w:sz="4" w:space="0"/>
              <w:right w:val="single" w:color="auto" w:sz="4" w:space="0"/>
            </w:tcBorders>
            <w:shd w:val="clear" w:color="auto" w:fill="auto"/>
            <w:vAlign w:val="center"/>
          </w:tcPr>
          <w:p>
            <w:pPr>
              <w:rPr>
                <w:rFonts w:hint="eastAsia" w:ascii="方正仿宋_GBK" w:hAnsi="方正仿宋_GBK" w:eastAsia="方正仿宋_GBK" w:cs="方正仿宋_GBK"/>
                <w:color w:val="000000"/>
                <w:sz w:val="18"/>
                <w:szCs w:val="18"/>
              </w:rPr>
            </w:pPr>
          </w:p>
        </w:tc>
      </w:tr>
      <w:tr>
        <w:tblPrEx>
          <w:tblCellMar>
            <w:top w:w="0" w:type="dxa"/>
            <w:left w:w="108" w:type="dxa"/>
            <w:bottom w:w="0" w:type="dxa"/>
            <w:right w:w="108" w:type="dxa"/>
          </w:tblCellMar>
        </w:tblPrEx>
        <w:trPr>
          <w:cantSplit/>
          <w:trHeight w:val="523" w:hRule="atLeast"/>
        </w:trPr>
        <w:tc>
          <w:tcPr>
            <w:tcW w:w="751" w:type="dxa"/>
            <w:vMerge w:val="continue"/>
            <w:tcBorders>
              <w:top w:val="nil"/>
              <w:left w:val="single" w:color="auto" w:sz="4" w:space="0"/>
              <w:bottom w:val="single" w:color="auto" w:sz="4" w:space="0"/>
              <w:right w:val="single" w:color="auto" w:sz="4" w:space="0"/>
            </w:tcBorders>
            <w:vAlign w:val="center"/>
          </w:tcPr>
          <w:p>
            <w:pPr>
              <w:jc w:val="center"/>
              <w:rPr>
                <w:rFonts w:hint="eastAsia" w:ascii="方正仿宋_GBK" w:hAnsi="方正仿宋_GBK" w:eastAsia="方正仿宋_GBK" w:cs="方正仿宋_GBK"/>
                <w:color w:val="000000"/>
                <w:sz w:val="18"/>
                <w:szCs w:val="18"/>
              </w:rPr>
            </w:pPr>
          </w:p>
        </w:tc>
        <w:tc>
          <w:tcPr>
            <w:tcW w:w="611" w:type="dxa"/>
            <w:tcBorders>
              <w:top w:val="nil"/>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i w:val="0"/>
                <w:iCs w:val="0"/>
                <w:color w:val="000000"/>
                <w:kern w:val="0"/>
                <w:sz w:val="20"/>
                <w:szCs w:val="20"/>
                <w:u w:val="none"/>
                <w:lang w:val="en-US" w:eastAsia="zh-CN" w:bidi="ar"/>
              </w:rPr>
              <w:t>效益指标</w:t>
            </w:r>
          </w:p>
        </w:tc>
        <w:tc>
          <w:tcPr>
            <w:tcW w:w="1188" w:type="dxa"/>
            <w:tcBorders>
              <w:top w:val="nil"/>
              <w:left w:val="single" w:color="auto" w:sz="4" w:space="0"/>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i w:val="0"/>
                <w:iCs w:val="0"/>
                <w:color w:val="000000"/>
                <w:kern w:val="0"/>
                <w:sz w:val="20"/>
                <w:szCs w:val="20"/>
                <w:u w:val="none"/>
                <w:lang w:val="en-US" w:eastAsia="zh-CN" w:bidi="ar"/>
              </w:rPr>
              <w:t>严重精神障碍患者规范管理率</w:t>
            </w:r>
          </w:p>
        </w:tc>
        <w:tc>
          <w:tcPr>
            <w:tcW w:w="676" w:type="dxa"/>
            <w:tcBorders>
              <w:top w:val="nil"/>
              <w:left w:val="single" w:color="auto" w:sz="4" w:space="0"/>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i w:val="0"/>
                <w:iCs w:val="0"/>
                <w:color w:val="000000"/>
                <w:kern w:val="0"/>
                <w:sz w:val="20"/>
                <w:szCs w:val="20"/>
                <w:u w:val="none"/>
                <w:lang w:val="en-US" w:eastAsia="zh-CN" w:bidi="ar"/>
              </w:rPr>
              <w:t>80%</w:t>
            </w:r>
          </w:p>
        </w:tc>
        <w:tc>
          <w:tcPr>
            <w:tcW w:w="458" w:type="dxa"/>
            <w:tcBorders>
              <w:top w:val="nil"/>
              <w:left w:val="single" w:color="auto" w:sz="4" w:space="0"/>
              <w:bottom w:val="single" w:color="auto" w:sz="4" w:space="0"/>
              <w:right w:val="nil"/>
            </w:tcBorders>
            <w:shd w:val="clear" w:color="auto" w:fill="auto"/>
            <w:vAlign w:val="center"/>
          </w:tcPr>
          <w:p>
            <w:pPr>
              <w:rPr>
                <w:rFonts w:hint="eastAsia" w:ascii="方正仿宋_GBK" w:hAnsi="方正仿宋_GBK" w:eastAsia="方正仿宋_GBK" w:cs="方正仿宋_GBK"/>
                <w:color w:val="000000"/>
                <w:sz w:val="18"/>
                <w:szCs w:val="18"/>
              </w:rPr>
            </w:pPr>
          </w:p>
        </w:tc>
        <w:tc>
          <w:tcPr>
            <w:tcW w:w="510" w:type="dxa"/>
            <w:tcBorders>
              <w:top w:val="nil"/>
              <w:left w:val="single" w:color="auto" w:sz="4" w:space="0"/>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i w:val="0"/>
                <w:iCs w:val="0"/>
                <w:color w:val="000000"/>
                <w:kern w:val="0"/>
                <w:sz w:val="20"/>
                <w:szCs w:val="20"/>
                <w:u w:val="none"/>
                <w:lang w:val="en-US" w:eastAsia="zh-CN" w:bidi="ar"/>
              </w:rPr>
              <w:t>80%</w:t>
            </w:r>
          </w:p>
        </w:tc>
        <w:tc>
          <w:tcPr>
            <w:tcW w:w="522" w:type="dxa"/>
            <w:tcBorders>
              <w:top w:val="nil"/>
              <w:left w:val="single" w:color="auto" w:sz="4" w:space="0"/>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i w:val="0"/>
                <w:iCs w:val="0"/>
                <w:color w:val="000000"/>
                <w:kern w:val="0"/>
                <w:sz w:val="20"/>
                <w:szCs w:val="20"/>
                <w:u w:val="none"/>
                <w:lang w:val="en-US" w:eastAsia="zh-CN" w:bidi="ar"/>
              </w:rPr>
              <w:t>80%</w:t>
            </w:r>
          </w:p>
        </w:tc>
        <w:tc>
          <w:tcPr>
            <w:tcW w:w="508" w:type="dxa"/>
            <w:tcBorders>
              <w:top w:val="nil"/>
              <w:left w:val="single" w:color="auto" w:sz="4" w:space="0"/>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i w:val="0"/>
                <w:iCs w:val="0"/>
                <w:color w:val="000000"/>
                <w:kern w:val="0"/>
                <w:sz w:val="20"/>
                <w:szCs w:val="20"/>
                <w:u w:val="none"/>
                <w:lang w:val="en-US" w:eastAsia="zh-CN" w:bidi="ar"/>
              </w:rPr>
              <w:t>80%</w:t>
            </w:r>
          </w:p>
        </w:tc>
        <w:tc>
          <w:tcPr>
            <w:tcW w:w="408" w:type="dxa"/>
            <w:tcBorders>
              <w:top w:val="nil"/>
              <w:left w:val="single" w:color="auto" w:sz="4" w:space="0"/>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rPr>
            </w:pPr>
            <w:r>
              <w:rPr>
                <w:rFonts w:hint="eastAsia" w:ascii="方正仿宋_GBK" w:hAnsi="方正仿宋_GBK" w:eastAsia="方正仿宋_GBK" w:cs="方正仿宋_GBK"/>
                <w:i w:val="0"/>
                <w:iCs w:val="0"/>
                <w:color w:val="000000"/>
                <w:kern w:val="0"/>
                <w:sz w:val="20"/>
                <w:szCs w:val="20"/>
                <w:u w:val="none"/>
                <w:lang w:val="en-US" w:eastAsia="zh-CN" w:bidi="ar"/>
              </w:rPr>
              <w:t>15</w:t>
            </w:r>
          </w:p>
        </w:tc>
        <w:tc>
          <w:tcPr>
            <w:tcW w:w="509" w:type="dxa"/>
            <w:tcBorders>
              <w:top w:val="nil"/>
              <w:left w:val="single" w:color="auto" w:sz="4" w:space="0"/>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i w:val="0"/>
                <w:iCs w:val="0"/>
                <w:color w:val="000000"/>
                <w:kern w:val="0"/>
                <w:sz w:val="20"/>
                <w:szCs w:val="20"/>
                <w:u w:val="none"/>
                <w:lang w:val="en-US" w:eastAsia="zh-CN" w:bidi="ar"/>
              </w:rPr>
              <w:t>15</w:t>
            </w:r>
          </w:p>
        </w:tc>
        <w:tc>
          <w:tcPr>
            <w:tcW w:w="396" w:type="dxa"/>
            <w:tcBorders>
              <w:top w:val="nil"/>
              <w:left w:val="single" w:color="auto" w:sz="4" w:space="0"/>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rPr>
            </w:pPr>
            <w:r>
              <w:rPr>
                <w:rFonts w:hint="eastAsia" w:ascii="方正仿宋_GBK" w:hAnsi="方正仿宋_GBK" w:eastAsia="方正仿宋_GBK" w:cs="方正仿宋_GBK"/>
                <w:i w:val="0"/>
                <w:iCs w:val="0"/>
                <w:color w:val="000000"/>
                <w:kern w:val="0"/>
                <w:sz w:val="20"/>
                <w:szCs w:val="20"/>
                <w:u w:val="none"/>
                <w:lang w:val="en-US" w:eastAsia="zh-CN" w:bidi="ar"/>
              </w:rPr>
              <w:t>15</w:t>
            </w:r>
          </w:p>
        </w:tc>
        <w:tc>
          <w:tcPr>
            <w:tcW w:w="1147" w:type="dxa"/>
            <w:tcBorders>
              <w:top w:val="nil"/>
              <w:left w:val="single" w:color="auto" w:sz="4" w:space="0"/>
              <w:bottom w:val="single" w:color="auto" w:sz="4" w:space="0"/>
              <w:right w:val="nil"/>
            </w:tcBorders>
            <w:shd w:val="clear" w:color="auto" w:fill="auto"/>
            <w:vAlign w:val="center"/>
          </w:tcPr>
          <w:p>
            <w:pPr>
              <w:rPr>
                <w:rFonts w:hint="eastAsia" w:ascii="方正仿宋_GBK" w:hAnsi="方正仿宋_GBK" w:eastAsia="方正仿宋_GBK" w:cs="方正仿宋_GBK"/>
                <w:color w:val="000000"/>
                <w:sz w:val="18"/>
                <w:szCs w:val="18"/>
              </w:rPr>
            </w:pPr>
          </w:p>
        </w:tc>
        <w:tc>
          <w:tcPr>
            <w:tcW w:w="816" w:type="dxa"/>
            <w:tcBorders>
              <w:top w:val="nil"/>
              <w:left w:val="single" w:color="auto" w:sz="4" w:space="0"/>
              <w:bottom w:val="single" w:color="auto" w:sz="4" w:space="0"/>
              <w:right w:val="single" w:color="auto" w:sz="4" w:space="0"/>
            </w:tcBorders>
            <w:shd w:val="clear" w:color="auto" w:fill="auto"/>
            <w:vAlign w:val="center"/>
          </w:tcPr>
          <w:p>
            <w:pPr>
              <w:rPr>
                <w:rFonts w:hint="eastAsia" w:ascii="方正仿宋_GBK" w:hAnsi="方正仿宋_GBK" w:eastAsia="方正仿宋_GBK" w:cs="方正仿宋_GBK"/>
                <w:color w:val="000000"/>
                <w:sz w:val="18"/>
                <w:szCs w:val="18"/>
              </w:rPr>
            </w:pPr>
          </w:p>
        </w:tc>
      </w:tr>
      <w:tr>
        <w:tblPrEx>
          <w:tblCellMar>
            <w:top w:w="0" w:type="dxa"/>
            <w:left w:w="108" w:type="dxa"/>
            <w:bottom w:w="0" w:type="dxa"/>
            <w:right w:w="108" w:type="dxa"/>
          </w:tblCellMar>
        </w:tblPrEx>
        <w:trPr>
          <w:cantSplit/>
          <w:trHeight w:val="523" w:hRule="atLeast"/>
        </w:trPr>
        <w:tc>
          <w:tcPr>
            <w:tcW w:w="751" w:type="dxa"/>
            <w:vMerge w:val="continue"/>
            <w:tcBorders>
              <w:top w:val="nil"/>
              <w:left w:val="single" w:color="auto" w:sz="4" w:space="0"/>
              <w:bottom w:val="single" w:color="auto" w:sz="4" w:space="0"/>
              <w:right w:val="single" w:color="auto" w:sz="4" w:space="0"/>
            </w:tcBorders>
            <w:vAlign w:val="center"/>
          </w:tcPr>
          <w:p>
            <w:pPr>
              <w:jc w:val="center"/>
              <w:rPr>
                <w:rFonts w:hint="eastAsia" w:ascii="方正仿宋_GBK" w:hAnsi="方正仿宋_GBK" w:eastAsia="方正仿宋_GBK" w:cs="方正仿宋_GBK"/>
                <w:color w:val="000000"/>
                <w:sz w:val="18"/>
                <w:szCs w:val="18"/>
              </w:rPr>
            </w:pPr>
          </w:p>
        </w:tc>
        <w:tc>
          <w:tcPr>
            <w:tcW w:w="611" w:type="dxa"/>
            <w:tcBorders>
              <w:top w:val="nil"/>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i w:val="0"/>
                <w:iCs w:val="0"/>
                <w:color w:val="000000"/>
                <w:kern w:val="0"/>
                <w:sz w:val="20"/>
                <w:szCs w:val="20"/>
                <w:u w:val="none"/>
                <w:lang w:val="en-US" w:eastAsia="zh-CN" w:bidi="ar"/>
              </w:rPr>
              <w:t>效益指标</w:t>
            </w:r>
          </w:p>
        </w:tc>
        <w:tc>
          <w:tcPr>
            <w:tcW w:w="1188" w:type="dxa"/>
            <w:tcBorders>
              <w:top w:val="nil"/>
              <w:left w:val="single" w:color="auto" w:sz="4" w:space="0"/>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i w:val="0"/>
                <w:iCs w:val="0"/>
                <w:color w:val="000000"/>
                <w:kern w:val="0"/>
                <w:sz w:val="20"/>
                <w:szCs w:val="20"/>
                <w:u w:val="none"/>
                <w:lang w:val="en-US" w:eastAsia="zh-CN" w:bidi="ar"/>
              </w:rPr>
              <w:t>患者家属健康教育、康复指导</w:t>
            </w:r>
          </w:p>
        </w:tc>
        <w:tc>
          <w:tcPr>
            <w:tcW w:w="676" w:type="dxa"/>
            <w:tcBorders>
              <w:top w:val="nil"/>
              <w:left w:val="single" w:color="auto" w:sz="4" w:space="0"/>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i w:val="0"/>
                <w:iCs w:val="0"/>
                <w:color w:val="000000"/>
                <w:kern w:val="0"/>
                <w:sz w:val="20"/>
                <w:szCs w:val="20"/>
                <w:u w:val="none"/>
                <w:lang w:val="en-US" w:eastAsia="zh-CN" w:bidi="ar"/>
              </w:rPr>
              <w:t>2100人次</w:t>
            </w:r>
          </w:p>
        </w:tc>
        <w:tc>
          <w:tcPr>
            <w:tcW w:w="458" w:type="dxa"/>
            <w:tcBorders>
              <w:top w:val="nil"/>
              <w:left w:val="single" w:color="auto" w:sz="4" w:space="0"/>
              <w:bottom w:val="single" w:color="auto" w:sz="4" w:space="0"/>
              <w:right w:val="nil"/>
            </w:tcBorders>
            <w:shd w:val="clear" w:color="auto" w:fill="auto"/>
            <w:vAlign w:val="center"/>
          </w:tcPr>
          <w:p>
            <w:pPr>
              <w:rPr>
                <w:rFonts w:hint="eastAsia" w:ascii="方正仿宋_GBK" w:hAnsi="方正仿宋_GBK" w:eastAsia="方正仿宋_GBK" w:cs="方正仿宋_GBK"/>
                <w:color w:val="000000"/>
                <w:sz w:val="18"/>
                <w:szCs w:val="18"/>
              </w:rPr>
            </w:pPr>
          </w:p>
        </w:tc>
        <w:tc>
          <w:tcPr>
            <w:tcW w:w="510" w:type="dxa"/>
            <w:tcBorders>
              <w:top w:val="nil"/>
              <w:left w:val="single" w:color="auto" w:sz="4" w:space="0"/>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i w:val="0"/>
                <w:iCs w:val="0"/>
                <w:color w:val="000000"/>
                <w:kern w:val="0"/>
                <w:sz w:val="20"/>
                <w:szCs w:val="20"/>
                <w:u w:val="none"/>
                <w:lang w:val="en-US" w:eastAsia="zh-CN" w:bidi="ar"/>
              </w:rPr>
              <w:t>2100人次</w:t>
            </w:r>
          </w:p>
        </w:tc>
        <w:tc>
          <w:tcPr>
            <w:tcW w:w="522" w:type="dxa"/>
            <w:tcBorders>
              <w:top w:val="nil"/>
              <w:left w:val="single" w:color="auto" w:sz="4" w:space="0"/>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i w:val="0"/>
                <w:iCs w:val="0"/>
                <w:color w:val="000000"/>
                <w:kern w:val="0"/>
                <w:sz w:val="20"/>
                <w:szCs w:val="20"/>
                <w:u w:val="none"/>
                <w:lang w:val="en-US" w:eastAsia="zh-CN" w:bidi="ar"/>
              </w:rPr>
              <w:t>1700人次</w:t>
            </w:r>
          </w:p>
        </w:tc>
        <w:tc>
          <w:tcPr>
            <w:tcW w:w="508" w:type="dxa"/>
            <w:tcBorders>
              <w:top w:val="nil"/>
              <w:left w:val="single" w:color="auto" w:sz="4" w:space="0"/>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i w:val="0"/>
                <w:iCs w:val="0"/>
                <w:color w:val="000000"/>
                <w:kern w:val="0"/>
                <w:sz w:val="20"/>
                <w:szCs w:val="20"/>
                <w:u w:val="none"/>
                <w:lang w:val="en-US" w:eastAsia="zh-CN" w:bidi="ar"/>
              </w:rPr>
              <w:t>80%</w:t>
            </w:r>
          </w:p>
        </w:tc>
        <w:tc>
          <w:tcPr>
            <w:tcW w:w="408" w:type="dxa"/>
            <w:tcBorders>
              <w:top w:val="nil"/>
              <w:left w:val="single" w:color="auto" w:sz="4" w:space="0"/>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rPr>
            </w:pPr>
            <w:r>
              <w:rPr>
                <w:rFonts w:hint="eastAsia" w:ascii="方正仿宋_GBK" w:hAnsi="方正仿宋_GBK" w:eastAsia="方正仿宋_GBK" w:cs="方正仿宋_GBK"/>
                <w:i w:val="0"/>
                <w:iCs w:val="0"/>
                <w:color w:val="000000"/>
                <w:kern w:val="0"/>
                <w:sz w:val="20"/>
                <w:szCs w:val="20"/>
                <w:u w:val="none"/>
                <w:lang w:val="en-US" w:eastAsia="zh-CN" w:bidi="ar"/>
              </w:rPr>
              <w:t>15</w:t>
            </w:r>
          </w:p>
        </w:tc>
        <w:tc>
          <w:tcPr>
            <w:tcW w:w="509" w:type="dxa"/>
            <w:tcBorders>
              <w:top w:val="nil"/>
              <w:left w:val="single" w:color="auto" w:sz="4" w:space="0"/>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i w:val="0"/>
                <w:iCs w:val="0"/>
                <w:color w:val="000000"/>
                <w:kern w:val="0"/>
                <w:sz w:val="20"/>
                <w:szCs w:val="20"/>
                <w:u w:val="none"/>
                <w:lang w:val="en-US" w:eastAsia="zh-CN" w:bidi="ar"/>
              </w:rPr>
              <w:t>12</w:t>
            </w:r>
          </w:p>
        </w:tc>
        <w:tc>
          <w:tcPr>
            <w:tcW w:w="396" w:type="dxa"/>
            <w:tcBorders>
              <w:top w:val="nil"/>
              <w:left w:val="single" w:color="auto" w:sz="4" w:space="0"/>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rPr>
            </w:pPr>
            <w:r>
              <w:rPr>
                <w:rFonts w:hint="eastAsia" w:ascii="方正仿宋_GBK" w:hAnsi="方正仿宋_GBK" w:eastAsia="方正仿宋_GBK" w:cs="方正仿宋_GBK"/>
                <w:i w:val="0"/>
                <w:iCs w:val="0"/>
                <w:color w:val="000000"/>
                <w:kern w:val="0"/>
                <w:sz w:val="20"/>
                <w:szCs w:val="20"/>
                <w:u w:val="none"/>
                <w:lang w:val="en-US" w:eastAsia="zh-CN" w:bidi="ar"/>
              </w:rPr>
              <w:t>12</w:t>
            </w:r>
          </w:p>
        </w:tc>
        <w:tc>
          <w:tcPr>
            <w:tcW w:w="1147" w:type="dxa"/>
            <w:tcBorders>
              <w:top w:val="nil"/>
              <w:left w:val="single" w:color="auto" w:sz="4" w:space="0"/>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i w:val="0"/>
                <w:iCs w:val="0"/>
                <w:color w:val="000000"/>
                <w:kern w:val="0"/>
                <w:sz w:val="20"/>
                <w:szCs w:val="20"/>
                <w:u w:val="none"/>
                <w:lang w:val="en-US" w:eastAsia="zh-CN" w:bidi="ar"/>
              </w:rPr>
              <w:t>因疫情影响,健康教育,康复指导开展次数下降,未达到目标</w:t>
            </w:r>
          </w:p>
        </w:tc>
        <w:tc>
          <w:tcPr>
            <w:tcW w:w="816"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i w:val="0"/>
                <w:iCs w:val="0"/>
                <w:color w:val="000000"/>
                <w:kern w:val="0"/>
                <w:sz w:val="20"/>
                <w:szCs w:val="20"/>
                <w:u w:val="none"/>
                <w:lang w:val="en-US" w:eastAsia="zh-CN" w:bidi="ar"/>
              </w:rPr>
              <w:t>疫情缓解后,加强健康教育\康复指导活动,</w:t>
            </w:r>
          </w:p>
        </w:tc>
      </w:tr>
      <w:tr>
        <w:tblPrEx>
          <w:tblCellMar>
            <w:top w:w="0" w:type="dxa"/>
            <w:left w:w="108" w:type="dxa"/>
            <w:bottom w:w="0" w:type="dxa"/>
            <w:right w:w="108" w:type="dxa"/>
          </w:tblCellMar>
        </w:tblPrEx>
        <w:trPr>
          <w:cantSplit/>
          <w:trHeight w:val="523" w:hRule="atLeast"/>
        </w:trPr>
        <w:tc>
          <w:tcPr>
            <w:tcW w:w="751" w:type="dxa"/>
            <w:vMerge w:val="continue"/>
            <w:tcBorders>
              <w:top w:val="nil"/>
              <w:left w:val="single" w:color="auto" w:sz="4" w:space="0"/>
              <w:bottom w:val="single" w:color="auto" w:sz="4" w:space="0"/>
              <w:right w:val="single" w:color="auto" w:sz="4" w:space="0"/>
            </w:tcBorders>
            <w:vAlign w:val="center"/>
          </w:tcPr>
          <w:p>
            <w:pPr>
              <w:jc w:val="center"/>
              <w:rPr>
                <w:rFonts w:hint="eastAsia" w:ascii="方正仿宋_GBK" w:hAnsi="方正仿宋_GBK" w:eastAsia="方正仿宋_GBK" w:cs="方正仿宋_GBK"/>
                <w:color w:val="000000"/>
                <w:sz w:val="18"/>
                <w:szCs w:val="18"/>
              </w:rPr>
            </w:pPr>
          </w:p>
        </w:tc>
        <w:tc>
          <w:tcPr>
            <w:tcW w:w="611" w:type="dxa"/>
            <w:tcBorders>
              <w:top w:val="nil"/>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i w:val="0"/>
                <w:iCs w:val="0"/>
                <w:color w:val="000000"/>
                <w:kern w:val="0"/>
                <w:sz w:val="20"/>
                <w:szCs w:val="20"/>
                <w:u w:val="none"/>
                <w:lang w:val="en-US" w:eastAsia="zh-CN" w:bidi="ar"/>
              </w:rPr>
              <w:t>满意度指标</w:t>
            </w:r>
          </w:p>
        </w:tc>
        <w:tc>
          <w:tcPr>
            <w:tcW w:w="1188" w:type="dxa"/>
            <w:tcBorders>
              <w:top w:val="nil"/>
              <w:left w:val="single" w:color="auto" w:sz="4" w:space="0"/>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i w:val="0"/>
                <w:iCs w:val="0"/>
                <w:color w:val="000000"/>
                <w:kern w:val="0"/>
                <w:sz w:val="20"/>
                <w:szCs w:val="20"/>
                <w:u w:val="none"/>
                <w:lang w:val="en-US" w:eastAsia="zh-CN" w:bidi="ar"/>
              </w:rPr>
              <w:t>患者及家属满意度</w:t>
            </w:r>
          </w:p>
        </w:tc>
        <w:tc>
          <w:tcPr>
            <w:tcW w:w="676" w:type="dxa"/>
            <w:tcBorders>
              <w:top w:val="nil"/>
              <w:left w:val="single" w:color="auto" w:sz="4" w:space="0"/>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i w:val="0"/>
                <w:iCs w:val="0"/>
                <w:color w:val="000000"/>
                <w:kern w:val="0"/>
                <w:sz w:val="20"/>
                <w:szCs w:val="20"/>
                <w:u w:val="none"/>
                <w:lang w:val="en-US" w:eastAsia="zh-CN" w:bidi="ar"/>
              </w:rPr>
              <w:t>80%</w:t>
            </w:r>
          </w:p>
        </w:tc>
        <w:tc>
          <w:tcPr>
            <w:tcW w:w="458" w:type="dxa"/>
            <w:tcBorders>
              <w:top w:val="nil"/>
              <w:left w:val="single" w:color="auto" w:sz="4" w:space="0"/>
              <w:bottom w:val="single" w:color="auto" w:sz="4" w:space="0"/>
              <w:right w:val="nil"/>
            </w:tcBorders>
            <w:shd w:val="clear" w:color="auto" w:fill="auto"/>
            <w:vAlign w:val="center"/>
          </w:tcPr>
          <w:p>
            <w:pPr>
              <w:rPr>
                <w:rFonts w:hint="eastAsia" w:ascii="方正仿宋_GBK" w:hAnsi="方正仿宋_GBK" w:eastAsia="方正仿宋_GBK" w:cs="方正仿宋_GBK"/>
                <w:color w:val="000000"/>
                <w:sz w:val="18"/>
                <w:szCs w:val="18"/>
              </w:rPr>
            </w:pPr>
          </w:p>
        </w:tc>
        <w:tc>
          <w:tcPr>
            <w:tcW w:w="510" w:type="dxa"/>
            <w:tcBorders>
              <w:top w:val="nil"/>
              <w:left w:val="single" w:color="auto" w:sz="4" w:space="0"/>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i w:val="0"/>
                <w:iCs w:val="0"/>
                <w:color w:val="000000"/>
                <w:kern w:val="0"/>
                <w:sz w:val="20"/>
                <w:szCs w:val="20"/>
                <w:u w:val="none"/>
                <w:lang w:val="en-US" w:eastAsia="zh-CN" w:bidi="ar"/>
              </w:rPr>
              <w:t>80%</w:t>
            </w:r>
          </w:p>
        </w:tc>
        <w:tc>
          <w:tcPr>
            <w:tcW w:w="522" w:type="dxa"/>
            <w:tcBorders>
              <w:top w:val="nil"/>
              <w:left w:val="single" w:color="auto" w:sz="4" w:space="0"/>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i w:val="0"/>
                <w:iCs w:val="0"/>
                <w:color w:val="000000"/>
                <w:kern w:val="0"/>
                <w:sz w:val="20"/>
                <w:szCs w:val="20"/>
                <w:u w:val="none"/>
                <w:lang w:val="en-US" w:eastAsia="zh-CN" w:bidi="ar"/>
              </w:rPr>
              <w:t>80%</w:t>
            </w:r>
          </w:p>
        </w:tc>
        <w:tc>
          <w:tcPr>
            <w:tcW w:w="508" w:type="dxa"/>
            <w:tcBorders>
              <w:top w:val="nil"/>
              <w:left w:val="single" w:color="auto" w:sz="4" w:space="0"/>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i w:val="0"/>
                <w:iCs w:val="0"/>
                <w:color w:val="000000"/>
                <w:kern w:val="0"/>
                <w:sz w:val="20"/>
                <w:szCs w:val="20"/>
                <w:u w:val="none"/>
                <w:lang w:val="en-US" w:eastAsia="zh-CN" w:bidi="ar"/>
              </w:rPr>
              <w:t>100%</w:t>
            </w:r>
          </w:p>
        </w:tc>
        <w:tc>
          <w:tcPr>
            <w:tcW w:w="408" w:type="dxa"/>
            <w:tcBorders>
              <w:top w:val="nil"/>
              <w:left w:val="single" w:color="auto" w:sz="4" w:space="0"/>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rPr>
            </w:pPr>
            <w:r>
              <w:rPr>
                <w:rFonts w:hint="eastAsia" w:ascii="方正仿宋_GBK" w:hAnsi="方正仿宋_GBK" w:eastAsia="方正仿宋_GBK" w:cs="方正仿宋_GBK"/>
                <w:i w:val="0"/>
                <w:iCs w:val="0"/>
                <w:color w:val="000000"/>
                <w:kern w:val="0"/>
                <w:sz w:val="20"/>
                <w:szCs w:val="20"/>
                <w:u w:val="none"/>
                <w:lang w:val="en-US" w:eastAsia="zh-CN" w:bidi="ar"/>
              </w:rPr>
              <w:t>20</w:t>
            </w:r>
          </w:p>
        </w:tc>
        <w:tc>
          <w:tcPr>
            <w:tcW w:w="509" w:type="dxa"/>
            <w:tcBorders>
              <w:top w:val="nil"/>
              <w:left w:val="single" w:color="auto" w:sz="4" w:space="0"/>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i w:val="0"/>
                <w:iCs w:val="0"/>
                <w:color w:val="000000"/>
                <w:kern w:val="0"/>
                <w:sz w:val="20"/>
                <w:szCs w:val="20"/>
                <w:u w:val="none"/>
                <w:lang w:val="en-US" w:eastAsia="zh-CN" w:bidi="ar"/>
              </w:rPr>
              <w:t>20</w:t>
            </w:r>
          </w:p>
        </w:tc>
        <w:tc>
          <w:tcPr>
            <w:tcW w:w="396" w:type="dxa"/>
            <w:tcBorders>
              <w:top w:val="nil"/>
              <w:left w:val="single" w:color="auto" w:sz="4" w:space="0"/>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rPr>
            </w:pPr>
            <w:r>
              <w:rPr>
                <w:rFonts w:hint="eastAsia" w:ascii="方正仿宋_GBK" w:hAnsi="方正仿宋_GBK" w:eastAsia="方正仿宋_GBK" w:cs="方正仿宋_GBK"/>
                <w:i w:val="0"/>
                <w:iCs w:val="0"/>
                <w:color w:val="000000"/>
                <w:kern w:val="0"/>
                <w:sz w:val="20"/>
                <w:szCs w:val="20"/>
                <w:u w:val="none"/>
                <w:lang w:val="en-US" w:eastAsia="zh-CN" w:bidi="ar"/>
              </w:rPr>
              <w:t>20</w:t>
            </w:r>
          </w:p>
        </w:tc>
        <w:tc>
          <w:tcPr>
            <w:tcW w:w="1147" w:type="dxa"/>
            <w:tcBorders>
              <w:top w:val="nil"/>
              <w:left w:val="single" w:color="auto" w:sz="4" w:space="0"/>
              <w:bottom w:val="single" w:color="auto" w:sz="4" w:space="0"/>
              <w:right w:val="nil"/>
            </w:tcBorders>
            <w:shd w:val="clear" w:color="auto" w:fill="auto"/>
            <w:vAlign w:val="center"/>
          </w:tcPr>
          <w:p>
            <w:pPr>
              <w:rPr>
                <w:rFonts w:hint="eastAsia" w:ascii="方正仿宋_GBK" w:hAnsi="方正仿宋_GBK" w:eastAsia="方正仿宋_GBK" w:cs="方正仿宋_GBK"/>
                <w:color w:val="000000"/>
                <w:sz w:val="18"/>
                <w:szCs w:val="18"/>
              </w:rPr>
            </w:pPr>
          </w:p>
        </w:tc>
        <w:tc>
          <w:tcPr>
            <w:tcW w:w="816" w:type="dxa"/>
            <w:tcBorders>
              <w:top w:val="nil"/>
              <w:left w:val="single" w:color="auto" w:sz="4" w:space="0"/>
              <w:bottom w:val="single" w:color="auto" w:sz="4" w:space="0"/>
              <w:right w:val="single" w:color="auto" w:sz="4" w:space="0"/>
            </w:tcBorders>
            <w:shd w:val="clear" w:color="auto" w:fill="auto"/>
            <w:vAlign w:val="center"/>
          </w:tcPr>
          <w:p>
            <w:pPr>
              <w:rPr>
                <w:rFonts w:hint="eastAsia" w:ascii="方正仿宋_GBK" w:hAnsi="方正仿宋_GBK" w:eastAsia="方正仿宋_GBK" w:cs="方正仿宋_GBK"/>
                <w:color w:val="000000"/>
                <w:sz w:val="18"/>
                <w:szCs w:val="18"/>
              </w:rPr>
            </w:pPr>
          </w:p>
        </w:tc>
      </w:tr>
      <w:tr>
        <w:tblPrEx>
          <w:tblCellMar>
            <w:top w:w="0" w:type="dxa"/>
            <w:left w:w="108" w:type="dxa"/>
            <w:bottom w:w="0" w:type="dxa"/>
            <w:right w:w="108" w:type="dxa"/>
          </w:tblCellMar>
        </w:tblPrEx>
        <w:trPr>
          <w:cantSplit/>
          <w:trHeight w:val="523" w:hRule="atLeast"/>
        </w:trPr>
        <w:tc>
          <w:tcPr>
            <w:tcW w:w="751" w:type="dxa"/>
            <w:vMerge w:val="continue"/>
            <w:tcBorders>
              <w:top w:val="nil"/>
              <w:left w:val="single" w:color="auto" w:sz="4" w:space="0"/>
              <w:bottom w:val="single" w:color="auto" w:sz="4" w:space="0"/>
              <w:right w:val="single" w:color="auto" w:sz="4" w:space="0"/>
            </w:tcBorders>
            <w:vAlign w:val="center"/>
          </w:tcPr>
          <w:p>
            <w:pPr>
              <w:jc w:val="center"/>
              <w:rPr>
                <w:rFonts w:hint="eastAsia" w:ascii="方正仿宋_GBK" w:hAnsi="方正仿宋_GBK" w:eastAsia="方正仿宋_GBK" w:cs="方正仿宋_GBK"/>
                <w:color w:val="000000"/>
                <w:sz w:val="18"/>
                <w:szCs w:val="18"/>
              </w:rPr>
            </w:pPr>
          </w:p>
        </w:tc>
        <w:tc>
          <w:tcPr>
            <w:tcW w:w="611" w:type="dxa"/>
            <w:tcBorders>
              <w:top w:val="nil"/>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i w:val="0"/>
                <w:iCs w:val="0"/>
                <w:color w:val="000000"/>
                <w:kern w:val="0"/>
                <w:sz w:val="20"/>
                <w:szCs w:val="20"/>
                <w:u w:val="none"/>
                <w:lang w:val="en-US" w:eastAsia="zh-CN" w:bidi="ar"/>
              </w:rPr>
              <w:t>资金执行率指标</w:t>
            </w:r>
          </w:p>
        </w:tc>
        <w:tc>
          <w:tcPr>
            <w:tcW w:w="1188" w:type="dxa"/>
            <w:tcBorders>
              <w:top w:val="nil"/>
              <w:left w:val="single" w:color="auto" w:sz="4" w:space="0"/>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i w:val="0"/>
                <w:iCs w:val="0"/>
                <w:color w:val="000000"/>
                <w:kern w:val="0"/>
                <w:sz w:val="20"/>
                <w:szCs w:val="20"/>
                <w:u w:val="none"/>
                <w:lang w:val="en-US" w:eastAsia="zh-CN" w:bidi="ar"/>
              </w:rPr>
              <w:t>资金使用执行率</w:t>
            </w:r>
          </w:p>
        </w:tc>
        <w:tc>
          <w:tcPr>
            <w:tcW w:w="676" w:type="dxa"/>
            <w:tcBorders>
              <w:top w:val="nil"/>
              <w:left w:val="single" w:color="auto" w:sz="4" w:space="0"/>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i w:val="0"/>
                <w:iCs w:val="0"/>
                <w:color w:val="000000"/>
                <w:kern w:val="0"/>
                <w:sz w:val="20"/>
                <w:szCs w:val="20"/>
                <w:u w:val="none"/>
                <w:lang w:val="en-US" w:eastAsia="zh-CN" w:bidi="ar"/>
              </w:rPr>
              <w:t>100%</w:t>
            </w:r>
          </w:p>
        </w:tc>
        <w:tc>
          <w:tcPr>
            <w:tcW w:w="458" w:type="dxa"/>
            <w:tcBorders>
              <w:top w:val="nil"/>
              <w:left w:val="single" w:color="auto" w:sz="4" w:space="0"/>
              <w:bottom w:val="single" w:color="auto" w:sz="4" w:space="0"/>
              <w:right w:val="nil"/>
            </w:tcBorders>
            <w:shd w:val="clear" w:color="auto" w:fill="auto"/>
            <w:vAlign w:val="center"/>
          </w:tcPr>
          <w:p>
            <w:pPr>
              <w:rPr>
                <w:rFonts w:hint="eastAsia" w:ascii="方正仿宋_GBK" w:hAnsi="方正仿宋_GBK" w:eastAsia="方正仿宋_GBK" w:cs="方正仿宋_GBK"/>
                <w:color w:val="000000"/>
                <w:sz w:val="18"/>
                <w:szCs w:val="18"/>
              </w:rPr>
            </w:pPr>
          </w:p>
        </w:tc>
        <w:tc>
          <w:tcPr>
            <w:tcW w:w="510" w:type="dxa"/>
            <w:tcBorders>
              <w:top w:val="nil"/>
              <w:left w:val="single" w:color="auto" w:sz="4" w:space="0"/>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i w:val="0"/>
                <w:iCs w:val="0"/>
                <w:color w:val="000000"/>
                <w:kern w:val="0"/>
                <w:sz w:val="20"/>
                <w:szCs w:val="20"/>
                <w:u w:val="none"/>
                <w:lang w:val="en-US" w:eastAsia="zh-CN" w:bidi="ar"/>
              </w:rPr>
              <w:t>100%</w:t>
            </w:r>
          </w:p>
        </w:tc>
        <w:tc>
          <w:tcPr>
            <w:tcW w:w="522" w:type="dxa"/>
            <w:tcBorders>
              <w:top w:val="nil"/>
              <w:left w:val="single" w:color="auto" w:sz="4" w:space="0"/>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i w:val="0"/>
                <w:iCs w:val="0"/>
                <w:color w:val="000000"/>
                <w:kern w:val="0"/>
                <w:sz w:val="20"/>
                <w:szCs w:val="20"/>
                <w:u w:val="none"/>
                <w:lang w:val="en-US" w:eastAsia="zh-CN" w:bidi="ar"/>
              </w:rPr>
              <w:t>100%</w:t>
            </w:r>
          </w:p>
        </w:tc>
        <w:tc>
          <w:tcPr>
            <w:tcW w:w="508" w:type="dxa"/>
            <w:tcBorders>
              <w:top w:val="nil"/>
              <w:left w:val="single" w:color="auto" w:sz="4" w:space="0"/>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i w:val="0"/>
                <w:iCs w:val="0"/>
                <w:color w:val="000000"/>
                <w:kern w:val="0"/>
                <w:sz w:val="20"/>
                <w:szCs w:val="20"/>
                <w:u w:val="none"/>
                <w:lang w:val="en-US" w:eastAsia="zh-CN" w:bidi="ar"/>
              </w:rPr>
              <w:t>100%</w:t>
            </w:r>
          </w:p>
        </w:tc>
        <w:tc>
          <w:tcPr>
            <w:tcW w:w="408" w:type="dxa"/>
            <w:tcBorders>
              <w:top w:val="nil"/>
              <w:left w:val="single" w:color="auto" w:sz="4" w:space="0"/>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rPr>
            </w:pPr>
            <w:r>
              <w:rPr>
                <w:rFonts w:hint="eastAsia" w:ascii="方正仿宋_GBK" w:hAnsi="方正仿宋_GBK" w:eastAsia="方正仿宋_GBK" w:cs="方正仿宋_GBK"/>
                <w:i w:val="0"/>
                <w:iCs w:val="0"/>
                <w:color w:val="000000"/>
                <w:kern w:val="0"/>
                <w:sz w:val="20"/>
                <w:szCs w:val="20"/>
                <w:u w:val="none"/>
                <w:lang w:val="en-US" w:eastAsia="zh-CN" w:bidi="ar"/>
              </w:rPr>
              <w:t>10</w:t>
            </w:r>
          </w:p>
        </w:tc>
        <w:tc>
          <w:tcPr>
            <w:tcW w:w="509" w:type="dxa"/>
            <w:tcBorders>
              <w:top w:val="nil"/>
              <w:left w:val="single" w:color="auto" w:sz="4" w:space="0"/>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i w:val="0"/>
                <w:iCs w:val="0"/>
                <w:color w:val="000000"/>
                <w:kern w:val="0"/>
                <w:sz w:val="20"/>
                <w:szCs w:val="20"/>
                <w:u w:val="none"/>
                <w:lang w:val="en-US" w:eastAsia="zh-CN" w:bidi="ar"/>
              </w:rPr>
              <w:t>10</w:t>
            </w:r>
          </w:p>
        </w:tc>
        <w:tc>
          <w:tcPr>
            <w:tcW w:w="396" w:type="dxa"/>
            <w:tcBorders>
              <w:top w:val="nil"/>
              <w:left w:val="single" w:color="auto" w:sz="4" w:space="0"/>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rPr>
            </w:pPr>
            <w:r>
              <w:rPr>
                <w:rFonts w:hint="eastAsia" w:ascii="方正仿宋_GBK" w:hAnsi="方正仿宋_GBK" w:eastAsia="方正仿宋_GBK" w:cs="方正仿宋_GBK"/>
                <w:i w:val="0"/>
                <w:iCs w:val="0"/>
                <w:color w:val="000000"/>
                <w:kern w:val="0"/>
                <w:sz w:val="20"/>
                <w:szCs w:val="20"/>
                <w:u w:val="none"/>
                <w:lang w:val="en-US" w:eastAsia="zh-CN" w:bidi="ar"/>
              </w:rPr>
              <w:t>10</w:t>
            </w:r>
          </w:p>
        </w:tc>
        <w:tc>
          <w:tcPr>
            <w:tcW w:w="1147" w:type="dxa"/>
            <w:tcBorders>
              <w:top w:val="nil"/>
              <w:left w:val="single" w:color="auto" w:sz="4" w:space="0"/>
              <w:bottom w:val="single" w:color="auto" w:sz="4" w:space="0"/>
              <w:right w:val="nil"/>
            </w:tcBorders>
            <w:shd w:val="clear" w:color="auto" w:fill="auto"/>
            <w:vAlign w:val="center"/>
          </w:tcPr>
          <w:p>
            <w:pPr>
              <w:rPr>
                <w:rFonts w:hint="eastAsia" w:ascii="方正仿宋_GBK" w:hAnsi="方正仿宋_GBK" w:eastAsia="方正仿宋_GBK" w:cs="方正仿宋_GBK"/>
                <w:color w:val="000000"/>
                <w:sz w:val="18"/>
                <w:szCs w:val="18"/>
              </w:rPr>
            </w:pPr>
          </w:p>
        </w:tc>
        <w:tc>
          <w:tcPr>
            <w:tcW w:w="816" w:type="dxa"/>
            <w:tcBorders>
              <w:top w:val="nil"/>
              <w:left w:val="single" w:color="auto" w:sz="4" w:space="0"/>
              <w:bottom w:val="single" w:color="auto" w:sz="4" w:space="0"/>
              <w:right w:val="single" w:color="auto" w:sz="4" w:space="0"/>
            </w:tcBorders>
            <w:shd w:val="clear" w:color="auto" w:fill="auto"/>
            <w:vAlign w:val="center"/>
          </w:tcPr>
          <w:p>
            <w:pPr>
              <w:rPr>
                <w:rFonts w:hint="eastAsia" w:ascii="方正仿宋_GBK" w:hAnsi="方正仿宋_GBK" w:eastAsia="方正仿宋_GBK" w:cs="方正仿宋_GBK"/>
                <w:color w:val="000000"/>
                <w:sz w:val="18"/>
                <w:szCs w:val="18"/>
              </w:rPr>
            </w:pPr>
          </w:p>
        </w:tc>
      </w:tr>
      <w:tr>
        <w:tblPrEx>
          <w:tblCellMar>
            <w:top w:w="0" w:type="dxa"/>
            <w:left w:w="108" w:type="dxa"/>
            <w:bottom w:w="0" w:type="dxa"/>
            <w:right w:w="108" w:type="dxa"/>
          </w:tblCellMar>
        </w:tblPrEx>
        <w:trPr>
          <w:trHeight w:val="755" w:hRule="atLeast"/>
        </w:trPr>
        <w:tc>
          <w:tcPr>
            <w:tcW w:w="5224" w:type="dxa"/>
            <w:gridSpan w:val="8"/>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i w:val="0"/>
                <w:iCs w:val="0"/>
                <w:color w:val="000000"/>
                <w:kern w:val="0"/>
                <w:sz w:val="20"/>
                <w:szCs w:val="20"/>
                <w:u w:val="none"/>
                <w:lang w:val="en-US" w:eastAsia="zh-CN" w:bidi="ar"/>
              </w:rPr>
              <w:t>总分</w:t>
            </w:r>
          </w:p>
        </w:tc>
        <w:tc>
          <w:tcPr>
            <w:tcW w:w="40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eastAsia" w:ascii="方正仿宋_GBK" w:hAnsi="方正仿宋_GBK" w:eastAsia="方正仿宋_GBK" w:cs="方正仿宋_GBK"/>
                <w:color w:val="000000"/>
                <w:sz w:val="18"/>
                <w:szCs w:val="18"/>
              </w:rPr>
            </w:pPr>
            <w:r>
              <w:rPr>
                <w:rFonts w:hint="eastAsia" w:ascii="方正仿宋_GBK" w:hAnsi="方正仿宋_GBK" w:eastAsia="方正仿宋_GBK" w:cs="方正仿宋_GBK"/>
                <w:i w:val="0"/>
                <w:iCs w:val="0"/>
                <w:color w:val="000000"/>
                <w:kern w:val="0"/>
                <w:sz w:val="20"/>
                <w:szCs w:val="20"/>
                <w:u w:val="none"/>
                <w:lang w:val="en-US" w:eastAsia="zh-CN" w:bidi="ar"/>
              </w:rPr>
              <w:t>100</w:t>
            </w:r>
          </w:p>
        </w:tc>
        <w:tc>
          <w:tcPr>
            <w:tcW w:w="509"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eastAsia" w:ascii="方正仿宋_GBK" w:hAnsi="方正仿宋_GBK" w:eastAsia="方正仿宋_GBK" w:cs="方正仿宋_GBK"/>
              </w:rPr>
            </w:pPr>
            <w:r>
              <w:rPr>
                <w:rFonts w:hint="eastAsia" w:ascii="方正仿宋_GBK" w:hAnsi="方正仿宋_GBK" w:eastAsia="方正仿宋_GBK" w:cs="方正仿宋_GBK"/>
                <w:i w:val="0"/>
                <w:iCs w:val="0"/>
                <w:color w:val="000000"/>
                <w:kern w:val="0"/>
                <w:sz w:val="20"/>
                <w:szCs w:val="20"/>
                <w:u w:val="none"/>
                <w:lang w:val="en-US" w:eastAsia="zh-CN" w:bidi="ar"/>
              </w:rPr>
              <w:t>97</w:t>
            </w:r>
          </w:p>
        </w:tc>
        <w:tc>
          <w:tcPr>
            <w:tcW w:w="39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eastAsia" w:ascii="方正仿宋_GBK" w:hAnsi="方正仿宋_GBK" w:eastAsia="方正仿宋_GBK" w:cs="方正仿宋_GBK"/>
              </w:rPr>
            </w:pPr>
            <w:r>
              <w:rPr>
                <w:rFonts w:hint="eastAsia" w:ascii="方正仿宋_GBK" w:hAnsi="方正仿宋_GBK" w:eastAsia="方正仿宋_GBK" w:cs="方正仿宋_GBK"/>
                <w:i w:val="0"/>
                <w:iCs w:val="0"/>
                <w:color w:val="000000"/>
                <w:kern w:val="0"/>
                <w:sz w:val="20"/>
                <w:szCs w:val="20"/>
                <w:u w:val="none"/>
                <w:lang w:val="en-US" w:eastAsia="zh-CN" w:bidi="ar"/>
              </w:rPr>
              <w:t>97</w:t>
            </w:r>
          </w:p>
        </w:tc>
        <w:tc>
          <w:tcPr>
            <w:tcW w:w="1147" w:type="dxa"/>
            <w:tcBorders>
              <w:top w:val="single" w:color="auto" w:sz="4" w:space="0"/>
              <w:left w:val="nil"/>
              <w:bottom w:val="single" w:color="auto" w:sz="4" w:space="0"/>
              <w:right w:val="single" w:color="auto" w:sz="4" w:space="0"/>
            </w:tcBorders>
            <w:shd w:val="clear" w:color="auto" w:fill="auto"/>
            <w:vAlign w:val="center"/>
          </w:tcPr>
          <w:p>
            <w:pPr>
              <w:rPr>
                <w:rFonts w:hint="eastAsia" w:ascii="方正仿宋_GBK" w:hAnsi="方正仿宋_GBK" w:eastAsia="方正仿宋_GBK" w:cs="方正仿宋_GBK"/>
              </w:rPr>
            </w:pPr>
          </w:p>
        </w:tc>
        <w:tc>
          <w:tcPr>
            <w:tcW w:w="816" w:type="dxa"/>
            <w:tcBorders>
              <w:top w:val="single" w:color="auto" w:sz="4" w:space="0"/>
              <w:left w:val="nil"/>
              <w:bottom w:val="single" w:color="auto" w:sz="4" w:space="0"/>
              <w:right w:val="single" w:color="auto" w:sz="4" w:space="0"/>
            </w:tcBorders>
            <w:shd w:val="clear" w:color="auto" w:fill="auto"/>
            <w:vAlign w:val="center"/>
          </w:tcPr>
          <w:p>
            <w:pPr>
              <w:rPr>
                <w:rFonts w:hint="eastAsia" w:ascii="方正仿宋_GBK" w:hAnsi="方正仿宋_GBK" w:eastAsia="方正仿宋_GBK" w:cs="方正仿宋_GBK"/>
              </w:rPr>
            </w:pPr>
          </w:p>
        </w:tc>
      </w:tr>
    </w:tbl>
    <w:p>
      <w:pPr>
        <w:tabs>
          <w:tab w:val="center" w:pos="4153"/>
          <w:tab w:val="left" w:pos="7275"/>
        </w:tabs>
        <w:spacing w:line="600" w:lineRule="exact"/>
        <w:rPr>
          <w:rFonts w:hint="eastAsia" w:ascii="方正仿宋_GBK" w:hAnsi="方正仿宋_GBK" w:eastAsia="方正仿宋_GBK" w:cs="方正仿宋_GBK"/>
          <w:sz w:val="32"/>
          <w:szCs w:val="32"/>
        </w:rPr>
      </w:pPr>
    </w:p>
    <w:p>
      <w:pPr>
        <w:pStyle w:val="5"/>
        <w:shd w:val="clear" w:color="auto" w:fill="FFFFFF"/>
        <w:spacing w:before="0" w:beforeAutospacing="0" w:after="0" w:afterAutospacing="0" w:line="600" w:lineRule="exact"/>
        <w:ind w:firstLine="640" w:firstLineChars="200"/>
        <w:jc w:val="both"/>
        <w:outlineLvl w:val="0"/>
        <w:rPr>
          <w:rStyle w:val="8"/>
          <w:rFonts w:hint="eastAsia" w:ascii="方正仿宋_GBK" w:hAnsi="方正仿宋_GBK" w:eastAsia="方正仿宋_GBK" w:cs="方正仿宋_GBK"/>
        </w:rPr>
      </w:pPr>
      <w:r>
        <w:rPr>
          <w:rStyle w:val="8"/>
          <w:rFonts w:hint="eastAsia" w:ascii="方正仿宋_GBK" w:hAnsi="方正仿宋_GBK" w:eastAsia="方正仿宋_GBK" w:cs="方正仿宋_GBK"/>
          <w:b w:val="0"/>
          <w:sz w:val="32"/>
          <w:szCs w:val="32"/>
        </w:rPr>
        <w:t>六、专业名词解释</w:t>
      </w:r>
    </w:p>
    <w:p>
      <w:pPr>
        <w:pStyle w:val="5"/>
        <w:shd w:val="clear" w:color="auto" w:fill="FFFFFF"/>
        <w:spacing w:before="0" w:beforeAutospacing="0" w:after="0" w:afterAutospacing="0" w:line="600" w:lineRule="exact"/>
        <w:ind w:firstLine="643" w:firstLineChars="200"/>
        <w:jc w:val="both"/>
        <w:rPr>
          <w:rFonts w:hint="eastAsia" w:ascii="方正仿宋_GBK" w:hAnsi="方正仿宋_GBK" w:eastAsia="方正仿宋_GBK" w:cs="方正仿宋_GBK"/>
          <w:sz w:val="32"/>
          <w:szCs w:val="32"/>
        </w:rPr>
      </w:pPr>
      <w:r>
        <w:rPr>
          <w:rStyle w:val="8"/>
          <w:rFonts w:hint="eastAsia" w:ascii="方正仿宋_GBK" w:hAnsi="方正仿宋_GBK" w:eastAsia="方正仿宋_GBK" w:cs="方正仿宋_GBK"/>
          <w:sz w:val="32"/>
          <w:szCs w:val="32"/>
        </w:rPr>
        <w:t>（一）财政拨款收入</w:t>
      </w:r>
      <w:r>
        <w:rPr>
          <w:rFonts w:hint="eastAsia" w:ascii="方正仿宋_GBK" w:hAnsi="方正仿宋_GBK" w:eastAsia="方正仿宋_GBK" w:cs="方正仿宋_GBK"/>
          <w:sz w:val="32"/>
          <w:szCs w:val="32"/>
        </w:rPr>
        <w:t>：指本年度从本级财政部门取得的财政拨款，包括一般公共预算财政拨款和政府性基金预算财政拨款。</w:t>
      </w:r>
    </w:p>
    <w:p>
      <w:pPr>
        <w:pStyle w:val="5"/>
        <w:shd w:val="clear" w:color="auto" w:fill="FFFFFF"/>
        <w:spacing w:before="0" w:beforeAutospacing="0" w:after="0" w:afterAutospacing="0" w:line="600" w:lineRule="exact"/>
        <w:ind w:firstLine="643" w:firstLineChars="200"/>
        <w:jc w:val="both"/>
        <w:rPr>
          <w:rFonts w:hint="eastAsia" w:ascii="方正仿宋_GBK" w:hAnsi="方正仿宋_GBK" w:eastAsia="方正仿宋_GBK" w:cs="方正仿宋_GBK"/>
          <w:sz w:val="32"/>
          <w:szCs w:val="32"/>
        </w:rPr>
      </w:pPr>
      <w:r>
        <w:rPr>
          <w:rStyle w:val="8"/>
          <w:rFonts w:hint="eastAsia" w:ascii="方正仿宋_GBK" w:hAnsi="方正仿宋_GBK" w:eastAsia="方正仿宋_GBK" w:cs="方正仿宋_GBK"/>
          <w:sz w:val="32"/>
          <w:szCs w:val="32"/>
        </w:rPr>
        <w:t>（二）事业收入</w:t>
      </w:r>
      <w:r>
        <w:rPr>
          <w:rFonts w:hint="eastAsia" w:ascii="方正仿宋_GBK" w:hAnsi="方正仿宋_GBK" w:eastAsia="方正仿宋_GBK" w:cs="方正仿宋_GBK"/>
          <w:sz w:val="32"/>
          <w:szCs w:val="32"/>
        </w:rPr>
        <w:t>：指事业单位开展专业业务活动及其辅助活动取得的现金流入；事业单位收到的财政专户实际核拨的教育收费等资金在此反映。</w:t>
      </w:r>
    </w:p>
    <w:p>
      <w:pPr>
        <w:pStyle w:val="5"/>
        <w:shd w:val="clear" w:color="auto" w:fill="FFFFFF"/>
        <w:spacing w:before="0" w:beforeAutospacing="0" w:after="0" w:afterAutospacing="0" w:line="600" w:lineRule="exact"/>
        <w:ind w:firstLine="643" w:firstLineChars="200"/>
        <w:jc w:val="both"/>
        <w:rPr>
          <w:rFonts w:hint="eastAsia" w:ascii="方正仿宋_GBK" w:hAnsi="方正仿宋_GBK" w:eastAsia="方正仿宋_GBK" w:cs="方正仿宋_GBK"/>
          <w:sz w:val="32"/>
          <w:szCs w:val="32"/>
        </w:rPr>
      </w:pPr>
      <w:r>
        <w:rPr>
          <w:rStyle w:val="8"/>
          <w:rFonts w:hint="eastAsia" w:ascii="方正仿宋_GBK" w:hAnsi="方正仿宋_GBK" w:eastAsia="方正仿宋_GBK" w:cs="方正仿宋_GBK"/>
          <w:sz w:val="32"/>
          <w:szCs w:val="32"/>
        </w:rPr>
        <w:t>（三）经营收入</w:t>
      </w:r>
      <w:r>
        <w:rPr>
          <w:rFonts w:hint="eastAsia" w:ascii="方正仿宋_GBK" w:hAnsi="方正仿宋_GBK" w:eastAsia="方正仿宋_GBK" w:cs="方正仿宋_GBK"/>
          <w:sz w:val="32"/>
          <w:szCs w:val="32"/>
        </w:rPr>
        <w:t>：指事业单位在专业业务活动及其辅助活动之外开展非独立核算经营活动取得的现金流入。</w:t>
      </w:r>
    </w:p>
    <w:p>
      <w:pPr>
        <w:pStyle w:val="5"/>
        <w:shd w:val="clear" w:color="auto" w:fill="FFFFFF"/>
        <w:spacing w:before="0" w:beforeAutospacing="0" w:after="0" w:afterAutospacing="0" w:line="600" w:lineRule="exact"/>
        <w:ind w:firstLine="643" w:firstLineChars="200"/>
        <w:jc w:val="both"/>
        <w:rPr>
          <w:rFonts w:hint="eastAsia" w:ascii="方正仿宋_GBK" w:hAnsi="方正仿宋_GBK" w:eastAsia="方正仿宋_GBK" w:cs="方正仿宋_GBK"/>
          <w:sz w:val="32"/>
          <w:szCs w:val="32"/>
        </w:rPr>
      </w:pPr>
      <w:r>
        <w:rPr>
          <w:rStyle w:val="8"/>
          <w:rFonts w:hint="eastAsia" w:ascii="方正仿宋_GBK" w:hAnsi="方正仿宋_GBK" w:eastAsia="方正仿宋_GBK" w:cs="方正仿宋_GBK"/>
          <w:sz w:val="32"/>
          <w:szCs w:val="32"/>
        </w:rPr>
        <w:t>（四）其他收入</w:t>
      </w:r>
      <w:r>
        <w:rPr>
          <w:rFonts w:hint="eastAsia" w:ascii="方正仿宋_GBK" w:hAnsi="方正仿宋_GBK" w:eastAsia="方正仿宋_GBK" w:cs="方正仿宋_GBK"/>
          <w:sz w:val="32"/>
          <w:szCs w:val="32"/>
        </w:rPr>
        <w:t>：指单位取得的除“财政拨款收入”、“事业收入”、“经营收入”等以外的收入，包括未纳入财政预算或财政专户管理的投资收益、银行存款利息收入、租金收入、捐赠收入，现金盘盈收入、存货盘盈收入、收回已核销的应收及预付款项、无法偿付的应付及预收款项等。各单位从本级财政部门以外的同级单位取得的经费、从非本级财政部门取得的经费，以及行政单位收到的财政专户管理资金反映在本项内。</w:t>
      </w:r>
    </w:p>
    <w:p>
      <w:pPr>
        <w:pStyle w:val="5"/>
        <w:shd w:val="clear" w:color="auto" w:fill="FFFFFF"/>
        <w:spacing w:before="0" w:beforeAutospacing="0" w:after="0" w:afterAutospacing="0" w:line="600" w:lineRule="exact"/>
        <w:ind w:firstLine="643" w:firstLineChars="200"/>
        <w:jc w:val="both"/>
        <w:rPr>
          <w:rFonts w:hint="eastAsia" w:ascii="方正仿宋_GBK" w:hAnsi="方正仿宋_GBK" w:eastAsia="方正仿宋_GBK" w:cs="方正仿宋_GBK"/>
          <w:sz w:val="32"/>
          <w:szCs w:val="32"/>
        </w:rPr>
      </w:pPr>
      <w:r>
        <w:rPr>
          <w:rStyle w:val="8"/>
          <w:rFonts w:hint="eastAsia" w:ascii="方正仿宋_GBK" w:hAnsi="方正仿宋_GBK" w:eastAsia="方正仿宋_GBK" w:cs="方正仿宋_GBK"/>
          <w:sz w:val="32"/>
          <w:szCs w:val="32"/>
        </w:rPr>
        <w:t>（五）用事业基金弥补收支差额</w:t>
      </w:r>
      <w:r>
        <w:rPr>
          <w:rFonts w:hint="eastAsia" w:ascii="方正仿宋_GBK" w:hAnsi="方正仿宋_GBK" w:eastAsia="方正仿宋_GBK" w:cs="方正仿宋_GBK"/>
          <w:sz w:val="32"/>
          <w:szCs w:val="32"/>
        </w:rPr>
        <w:t>：指事业单位在当年的“财政拨款收入”、“事业收入”、“经营收入”、“其他收入”等不足以安排当年支出的情况下，使用以前年度积累的事业基金（事业单位当年收支相抵后按国家规定提取、用于弥补以后年度收支差额的基金）弥补本年度收支缺口的资金。</w:t>
      </w:r>
    </w:p>
    <w:p>
      <w:pPr>
        <w:pStyle w:val="5"/>
        <w:shd w:val="clear" w:color="auto" w:fill="FFFFFF"/>
        <w:spacing w:before="0" w:beforeAutospacing="0" w:after="0" w:afterAutospacing="0" w:line="600" w:lineRule="exact"/>
        <w:ind w:firstLine="643" w:firstLineChars="200"/>
        <w:jc w:val="both"/>
        <w:rPr>
          <w:rFonts w:hint="eastAsia" w:ascii="方正仿宋_GBK" w:hAnsi="方正仿宋_GBK" w:eastAsia="方正仿宋_GBK" w:cs="方正仿宋_GBK"/>
          <w:sz w:val="32"/>
          <w:szCs w:val="32"/>
        </w:rPr>
      </w:pPr>
      <w:r>
        <w:rPr>
          <w:rStyle w:val="8"/>
          <w:rFonts w:hint="eastAsia" w:ascii="方正仿宋_GBK" w:hAnsi="方正仿宋_GBK" w:eastAsia="方正仿宋_GBK" w:cs="方正仿宋_GBK"/>
          <w:sz w:val="32"/>
          <w:szCs w:val="32"/>
        </w:rPr>
        <w:t>（六）年初结转和结余</w:t>
      </w:r>
      <w:r>
        <w:rPr>
          <w:rFonts w:hint="eastAsia" w:ascii="方正仿宋_GBK" w:hAnsi="方正仿宋_GBK" w:eastAsia="方正仿宋_GBK" w:cs="方正仿宋_GBK"/>
          <w:sz w:val="32"/>
          <w:szCs w:val="32"/>
        </w:rPr>
        <w:t>：指单位上年结转本年使用的基本支出结转、项目支出结转和结余、经营结余。</w:t>
      </w:r>
    </w:p>
    <w:p>
      <w:pPr>
        <w:pStyle w:val="5"/>
        <w:shd w:val="clear" w:color="auto" w:fill="FFFFFF"/>
        <w:spacing w:before="0" w:beforeAutospacing="0" w:after="0" w:afterAutospacing="0" w:line="600" w:lineRule="exact"/>
        <w:ind w:firstLine="643" w:firstLineChars="200"/>
        <w:jc w:val="both"/>
        <w:rPr>
          <w:rFonts w:hint="eastAsia" w:ascii="方正仿宋_GBK" w:hAnsi="方正仿宋_GBK" w:eastAsia="方正仿宋_GBK" w:cs="方正仿宋_GBK"/>
          <w:sz w:val="32"/>
          <w:szCs w:val="32"/>
        </w:rPr>
      </w:pPr>
      <w:r>
        <w:rPr>
          <w:rStyle w:val="8"/>
          <w:rFonts w:hint="eastAsia" w:ascii="方正仿宋_GBK" w:hAnsi="方正仿宋_GBK" w:eastAsia="方正仿宋_GBK" w:cs="方正仿宋_GBK"/>
          <w:sz w:val="32"/>
          <w:szCs w:val="32"/>
        </w:rPr>
        <w:t>（七）结余分配</w:t>
      </w:r>
      <w:r>
        <w:rPr>
          <w:rFonts w:hint="eastAsia" w:ascii="方正仿宋_GBK" w:hAnsi="方正仿宋_GBK" w:eastAsia="方正仿宋_GBK" w:cs="方正仿宋_GBK"/>
          <w:sz w:val="32"/>
          <w:szCs w:val="32"/>
        </w:rPr>
        <w:t>：指单位按照国家有关规定，缴纳所得税、提取专用基金、转入事业基金等当年结余的分配情况。</w:t>
      </w:r>
    </w:p>
    <w:p>
      <w:pPr>
        <w:pStyle w:val="5"/>
        <w:shd w:val="clear" w:color="auto" w:fill="FFFFFF"/>
        <w:spacing w:before="0" w:beforeAutospacing="0" w:after="0" w:afterAutospacing="0" w:line="600" w:lineRule="exact"/>
        <w:ind w:firstLine="643" w:firstLineChars="200"/>
        <w:jc w:val="both"/>
        <w:rPr>
          <w:rFonts w:hint="eastAsia" w:ascii="方正仿宋_GBK" w:hAnsi="方正仿宋_GBK" w:eastAsia="方正仿宋_GBK" w:cs="方正仿宋_GBK"/>
          <w:sz w:val="32"/>
          <w:szCs w:val="32"/>
        </w:rPr>
      </w:pPr>
      <w:r>
        <w:rPr>
          <w:rStyle w:val="8"/>
          <w:rFonts w:hint="eastAsia" w:ascii="方正仿宋_GBK" w:hAnsi="方正仿宋_GBK" w:eastAsia="方正仿宋_GBK" w:cs="方正仿宋_GBK"/>
          <w:sz w:val="32"/>
          <w:szCs w:val="32"/>
        </w:rPr>
        <w:t>（八）年末结转和结余</w:t>
      </w:r>
      <w:r>
        <w:rPr>
          <w:rFonts w:hint="eastAsia" w:ascii="方正仿宋_GBK" w:hAnsi="方正仿宋_GBK" w:eastAsia="方正仿宋_GBK" w:cs="方正仿宋_GBK"/>
          <w:sz w:val="32"/>
          <w:szCs w:val="32"/>
        </w:rPr>
        <w:t>：指单位结转下年的基本支出结转、项目支出结转和结余、经营结余。</w:t>
      </w:r>
    </w:p>
    <w:p>
      <w:pPr>
        <w:pStyle w:val="5"/>
        <w:shd w:val="clear" w:color="auto" w:fill="FFFFFF"/>
        <w:spacing w:before="0" w:beforeAutospacing="0" w:after="0" w:afterAutospacing="0" w:line="600" w:lineRule="exact"/>
        <w:ind w:firstLine="643" w:firstLineChars="200"/>
        <w:jc w:val="both"/>
        <w:rPr>
          <w:rFonts w:hint="eastAsia" w:ascii="方正仿宋_GBK" w:hAnsi="方正仿宋_GBK" w:eastAsia="方正仿宋_GBK" w:cs="方正仿宋_GBK"/>
          <w:sz w:val="32"/>
          <w:szCs w:val="32"/>
        </w:rPr>
      </w:pPr>
      <w:r>
        <w:rPr>
          <w:rStyle w:val="8"/>
          <w:rFonts w:hint="eastAsia" w:ascii="方正仿宋_GBK" w:hAnsi="方正仿宋_GBK" w:eastAsia="方正仿宋_GBK" w:cs="方正仿宋_GBK"/>
          <w:sz w:val="32"/>
          <w:szCs w:val="32"/>
        </w:rPr>
        <w:t>（九）基本支出</w:t>
      </w:r>
      <w:r>
        <w:rPr>
          <w:rFonts w:hint="eastAsia" w:ascii="方正仿宋_GBK" w:hAnsi="方正仿宋_GBK" w:eastAsia="方正仿宋_GBK" w:cs="方正仿宋_GBK"/>
          <w:sz w:val="32"/>
          <w:szCs w:val="32"/>
        </w:rPr>
        <w:t>：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pPr>
        <w:pStyle w:val="5"/>
        <w:shd w:val="clear" w:color="auto" w:fill="FFFFFF"/>
        <w:spacing w:before="0" w:beforeAutospacing="0" w:after="0" w:afterAutospacing="0" w:line="600" w:lineRule="exact"/>
        <w:ind w:firstLine="643" w:firstLineChars="200"/>
        <w:jc w:val="both"/>
        <w:rPr>
          <w:rFonts w:hint="eastAsia" w:ascii="方正仿宋_GBK" w:hAnsi="方正仿宋_GBK" w:eastAsia="方正仿宋_GBK" w:cs="方正仿宋_GBK"/>
          <w:sz w:val="32"/>
          <w:szCs w:val="32"/>
        </w:rPr>
      </w:pPr>
      <w:r>
        <w:rPr>
          <w:rStyle w:val="8"/>
          <w:rFonts w:hint="eastAsia" w:ascii="方正仿宋_GBK" w:hAnsi="方正仿宋_GBK" w:eastAsia="方正仿宋_GBK" w:cs="方正仿宋_GBK"/>
          <w:sz w:val="32"/>
          <w:szCs w:val="32"/>
        </w:rPr>
        <w:t>（十）项目支出</w:t>
      </w:r>
      <w:r>
        <w:rPr>
          <w:rFonts w:hint="eastAsia" w:ascii="方正仿宋_GBK" w:hAnsi="方正仿宋_GBK" w:eastAsia="方正仿宋_GBK" w:cs="方正仿宋_GBK"/>
          <w:sz w:val="32"/>
          <w:szCs w:val="32"/>
        </w:rPr>
        <w:t>：指在基本支出之外为完成特定行政任务和事业发展目标所发生的支出。</w:t>
      </w:r>
    </w:p>
    <w:p>
      <w:pPr>
        <w:pStyle w:val="5"/>
        <w:shd w:val="clear" w:color="auto" w:fill="FFFFFF"/>
        <w:spacing w:before="0" w:beforeAutospacing="0" w:after="0" w:afterAutospacing="0" w:line="600" w:lineRule="exact"/>
        <w:ind w:firstLine="643" w:firstLineChars="200"/>
        <w:jc w:val="both"/>
        <w:rPr>
          <w:rFonts w:hint="eastAsia" w:ascii="方正仿宋_GBK" w:hAnsi="方正仿宋_GBK" w:eastAsia="方正仿宋_GBK" w:cs="方正仿宋_GBK"/>
          <w:sz w:val="32"/>
          <w:szCs w:val="32"/>
        </w:rPr>
      </w:pPr>
      <w:r>
        <w:rPr>
          <w:rStyle w:val="8"/>
          <w:rFonts w:hint="eastAsia" w:ascii="方正仿宋_GBK" w:hAnsi="方正仿宋_GBK" w:eastAsia="方正仿宋_GBK" w:cs="方正仿宋_GBK"/>
          <w:sz w:val="32"/>
          <w:szCs w:val="32"/>
        </w:rPr>
        <w:t>（十一）经营支出</w:t>
      </w:r>
      <w:r>
        <w:rPr>
          <w:rFonts w:hint="eastAsia" w:ascii="方正仿宋_GBK" w:hAnsi="方正仿宋_GBK" w:eastAsia="方正仿宋_GBK" w:cs="方正仿宋_GBK"/>
          <w:sz w:val="32"/>
          <w:szCs w:val="32"/>
        </w:rPr>
        <w:t>：指事业单位在专业业务活动及其辅助活动之外开展非独立核算经营活动发生的支出。</w:t>
      </w:r>
    </w:p>
    <w:p>
      <w:pPr>
        <w:pStyle w:val="5"/>
        <w:shd w:val="clear" w:color="auto" w:fill="FFFFFF"/>
        <w:spacing w:before="0" w:beforeAutospacing="0" w:after="0" w:afterAutospacing="0" w:line="600" w:lineRule="exact"/>
        <w:ind w:firstLine="643" w:firstLineChars="200"/>
        <w:jc w:val="both"/>
        <w:rPr>
          <w:rFonts w:hint="eastAsia" w:ascii="方正仿宋_GBK" w:hAnsi="方正仿宋_GBK" w:eastAsia="方正仿宋_GBK" w:cs="方正仿宋_GBK"/>
          <w:sz w:val="32"/>
          <w:szCs w:val="32"/>
        </w:rPr>
      </w:pPr>
      <w:r>
        <w:rPr>
          <w:rStyle w:val="8"/>
          <w:rFonts w:hint="eastAsia" w:ascii="方正仿宋_GBK" w:hAnsi="方正仿宋_GBK" w:eastAsia="方正仿宋_GBK" w:cs="方正仿宋_GBK"/>
          <w:sz w:val="32"/>
          <w:szCs w:val="32"/>
        </w:rPr>
        <w:t>（十二）“三公”经费</w:t>
      </w:r>
      <w:r>
        <w:rPr>
          <w:rFonts w:hint="eastAsia" w:ascii="方正仿宋_GBK" w:hAnsi="方正仿宋_GBK" w:eastAsia="方正仿宋_GBK" w:cs="方正仿宋_GBK"/>
          <w:sz w:val="32"/>
          <w:szCs w:val="32"/>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pPr>
        <w:pStyle w:val="5"/>
        <w:shd w:val="clear" w:color="auto" w:fill="FFFFFF"/>
        <w:spacing w:before="0" w:beforeAutospacing="0" w:after="0" w:afterAutospacing="0" w:line="600" w:lineRule="exact"/>
        <w:ind w:firstLine="643" w:firstLineChars="200"/>
        <w:jc w:val="both"/>
        <w:rPr>
          <w:rFonts w:hint="eastAsia" w:ascii="方正仿宋_GBK" w:hAnsi="方正仿宋_GBK" w:eastAsia="方正仿宋_GBK" w:cs="方正仿宋_GBK"/>
          <w:sz w:val="32"/>
          <w:szCs w:val="32"/>
        </w:rPr>
      </w:pPr>
      <w:r>
        <w:rPr>
          <w:rStyle w:val="8"/>
          <w:rFonts w:hint="eastAsia" w:ascii="方正仿宋_GBK" w:hAnsi="方正仿宋_GBK" w:eastAsia="方正仿宋_GBK" w:cs="方正仿宋_GBK"/>
          <w:sz w:val="32"/>
          <w:szCs w:val="32"/>
        </w:rPr>
        <w:t>（十三）机关运行经费</w:t>
      </w:r>
      <w:r>
        <w:rPr>
          <w:rFonts w:hint="eastAsia" w:ascii="方正仿宋_GBK" w:hAnsi="方正仿宋_GBK" w:eastAsia="方正仿宋_GBK" w:cs="方正仿宋_GBK"/>
          <w:sz w:val="32"/>
          <w:szCs w:val="32"/>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pPr>
        <w:pStyle w:val="5"/>
        <w:widowControl w:val="0"/>
        <w:shd w:val="clear" w:color="auto" w:fill="FFFFFF"/>
        <w:spacing w:before="0" w:beforeAutospacing="0" w:after="0" w:afterAutospacing="0" w:line="600" w:lineRule="exact"/>
        <w:ind w:firstLine="643" w:firstLineChars="200"/>
        <w:jc w:val="both"/>
        <w:rPr>
          <w:rFonts w:hint="eastAsia" w:ascii="方正仿宋_GBK" w:hAnsi="方正仿宋_GBK" w:eastAsia="方正仿宋_GBK" w:cs="方正仿宋_GBK"/>
          <w:sz w:val="32"/>
          <w:szCs w:val="32"/>
        </w:rPr>
      </w:pPr>
      <w:r>
        <w:rPr>
          <w:rStyle w:val="8"/>
          <w:rFonts w:hint="eastAsia" w:ascii="方正仿宋_GBK" w:hAnsi="方正仿宋_GBK" w:eastAsia="方正仿宋_GBK" w:cs="方正仿宋_GBK"/>
          <w:sz w:val="32"/>
          <w:szCs w:val="32"/>
        </w:rPr>
        <w:t>（十四）工资福利支出（支出经济分类科目类级）</w:t>
      </w:r>
      <w:r>
        <w:rPr>
          <w:rFonts w:hint="eastAsia" w:ascii="方正仿宋_GBK" w:hAnsi="方正仿宋_GBK" w:eastAsia="方正仿宋_GBK" w:cs="方正仿宋_GBK"/>
          <w:sz w:val="32"/>
          <w:szCs w:val="32"/>
        </w:rPr>
        <w:t>：反映单位开支的在职职工和编制外长期聘用人员的各类劳动报酬，以及为上述人员缴纳的各项社会保险费等。</w:t>
      </w:r>
    </w:p>
    <w:p>
      <w:pPr>
        <w:pStyle w:val="5"/>
        <w:widowControl w:val="0"/>
        <w:shd w:val="clear" w:color="auto" w:fill="FFFFFF"/>
        <w:spacing w:before="0" w:beforeAutospacing="0" w:after="0" w:afterAutospacing="0" w:line="600" w:lineRule="exact"/>
        <w:ind w:firstLine="643" w:firstLineChars="200"/>
        <w:jc w:val="both"/>
        <w:rPr>
          <w:rFonts w:hint="eastAsia" w:ascii="方正仿宋_GBK" w:hAnsi="方正仿宋_GBK" w:eastAsia="方正仿宋_GBK" w:cs="方正仿宋_GBK"/>
          <w:sz w:val="32"/>
          <w:szCs w:val="32"/>
        </w:rPr>
      </w:pPr>
      <w:r>
        <w:rPr>
          <w:rStyle w:val="8"/>
          <w:rFonts w:hint="eastAsia" w:ascii="方正仿宋_GBK" w:hAnsi="方正仿宋_GBK" w:eastAsia="方正仿宋_GBK" w:cs="方正仿宋_GBK"/>
          <w:sz w:val="32"/>
          <w:szCs w:val="32"/>
        </w:rPr>
        <w:t>（十五）商品和服务支出（支出经济分类科目类级）</w:t>
      </w:r>
      <w:r>
        <w:rPr>
          <w:rFonts w:hint="eastAsia" w:ascii="方正仿宋_GBK" w:hAnsi="方正仿宋_GBK" w:eastAsia="方正仿宋_GBK" w:cs="方正仿宋_GBK"/>
          <w:sz w:val="32"/>
          <w:szCs w:val="32"/>
        </w:rPr>
        <w:t>：反映单位购买商品和服务的支出（不包括用于购置固定资产的支出、战略性和应急储备支出）。</w:t>
      </w:r>
    </w:p>
    <w:p>
      <w:pPr>
        <w:pStyle w:val="5"/>
        <w:shd w:val="clear" w:color="auto" w:fill="FFFFFF"/>
        <w:spacing w:before="0" w:beforeAutospacing="0" w:after="0" w:afterAutospacing="0" w:line="600" w:lineRule="exact"/>
        <w:ind w:firstLine="643" w:firstLineChars="200"/>
        <w:jc w:val="both"/>
        <w:rPr>
          <w:rFonts w:hint="eastAsia" w:ascii="方正仿宋_GBK" w:hAnsi="方正仿宋_GBK" w:eastAsia="方正仿宋_GBK" w:cs="方正仿宋_GBK"/>
          <w:sz w:val="32"/>
          <w:szCs w:val="32"/>
        </w:rPr>
      </w:pPr>
      <w:r>
        <w:rPr>
          <w:rStyle w:val="8"/>
          <w:rFonts w:hint="eastAsia" w:ascii="方正仿宋_GBK" w:hAnsi="方正仿宋_GBK" w:eastAsia="方正仿宋_GBK" w:cs="方正仿宋_GBK"/>
          <w:sz w:val="32"/>
          <w:szCs w:val="32"/>
        </w:rPr>
        <w:t>（十六）对个人和家庭的补助（支出经济分类科目类级）</w:t>
      </w:r>
      <w:r>
        <w:rPr>
          <w:rFonts w:hint="eastAsia" w:ascii="方正仿宋_GBK" w:hAnsi="方正仿宋_GBK" w:eastAsia="方正仿宋_GBK" w:cs="方正仿宋_GBK"/>
          <w:sz w:val="32"/>
          <w:szCs w:val="32"/>
        </w:rPr>
        <w:t>：反映用于对个人和家庭的补助支出。</w:t>
      </w:r>
    </w:p>
    <w:p>
      <w:pPr>
        <w:pStyle w:val="5"/>
        <w:shd w:val="clear" w:color="auto" w:fill="FFFFFF"/>
        <w:spacing w:before="0" w:beforeAutospacing="0" w:after="0" w:afterAutospacing="0" w:line="600" w:lineRule="exact"/>
        <w:ind w:firstLine="643" w:firstLineChars="200"/>
        <w:jc w:val="both"/>
        <w:rPr>
          <w:rFonts w:hint="eastAsia" w:ascii="方正仿宋_GBK" w:hAnsi="方正仿宋_GBK" w:eastAsia="方正仿宋_GBK" w:cs="方正仿宋_GBK"/>
          <w:sz w:val="32"/>
          <w:szCs w:val="32"/>
        </w:rPr>
      </w:pPr>
      <w:r>
        <w:rPr>
          <w:rStyle w:val="8"/>
          <w:rFonts w:hint="eastAsia" w:ascii="方正仿宋_GBK" w:hAnsi="方正仿宋_GBK" w:eastAsia="方正仿宋_GBK" w:cs="方正仿宋_GBK"/>
          <w:sz w:val="32"/>
          <w:szCs w:val="32"/>
        </w:rPr>
        <w:t>（十七）其他资本性支出（支出经济分类科目类级）</w:t>
      </w:r>
      <w:r>
        <w:rPr>
          <w:rFonts w:hint="eastAsia" w:ascii="方正仿宋_GBK" w:hAnsi="方正仿宋_GBK" w:eastAsia="方正仿宋_GBK" w:cs="方正仿宋_GBK"/>
          <w:sz w:val="32"/>
          <w:szCs w:val="32"/>
        </w:rPr>
        <w:t>：反映非各级发展与改革部门集中安排的用于购置固定资产、战略性和应急性储备、土地和无形资产，以及构建基础设施、大型修缮和财政支持企业更新改造所发生的支出。</w:t>
      </w:r>
    </w:p>
    <w:p>
      <w:pPr>
        <w:pStyle w:val="5"/>
        <w:shd w:val="clear" w:color="auto" w:fill="FFFFFF"/>
        <w:spacing w:before="0" w:beforeAutospacing="0" w:after="0" w:afterAutospacing="0" w:line="600" w:lineRule="exact"/>
        <w:ind w:firstLine="640" w:firstLineChars="200"/>
        <w:jc w:val="both"/>
        <w:outlineLvl w:val="0"/>
        <w:rPr>
          <w:rFonts w:hint="eastAsia" w:ascii="方正仿宋_GBK" w:hAnsi="方正仿宋_GBK" w:eastAsia="方正仿宋_GBK" w:cs="方正仿宋_GBK"/>
          <w:b/>
          <w:sz w:val="32"/>
          <w:szCs w:val="32"/>
        </w:rPr>
      </w:pPr>
      <w:r>
        <w:rPr>
          <w:rStyle w:val="8"/>
          <w:rFonts w:hint="eastAsia" w:ascii="方正仿宋_GBK" w:hAnsi="方正仿宋_GBK" w:eastAsia="方正仿宋_GBK" w:cs="方正仿宋_GBK"/>
          <w:b w:val="0"/>
          <w:sz w:val="32"/>
          <w:szCs w:val="32"/>
        </w:rPr>
        <w:t>七、决算公开联系方式及信息反馈渠道</w:t>
      </w:r>
    </w:p>
    <w:p>
      <w:pPr>
        <w:pStyle w:val="5"/>
        <w:shd w:val="clear" w:color="auto" w:fill="FFFFFF"/>
        <w:spacing w:before="0" w:beforeAutospacing="0" w:after="0" w:afterAutospacing="0" w:line="600" w:lineRule="exact"/>
        <w:ind w:firstLine="640" w:firstLineChars="200"/>
        <w:jc w:val="both"/>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本单位决算公开信息反馈和联系方式：</w:t>
      </w:r>
      <w:r>
        <w:rPr>
          <w:rFonts w:hint="eastAsia" w:ascii="方正仿宋_GBK" w:hAnsi="方正仿宋_GBK" w:eastAsia="方正仿宋_GBK" w:cs="方正仿宋_GBK"/>
          <w:sz w:val="32"/>
          <w:szCs w:val="32"/>
          <w:lang w:val="en-US" w:eastAsia="zh-CN"/>
        </w:rPr>
        <w:t>023-62463725</w:t>
      </w:r>
    </w:p>
    <w:sectPr>
      <w:footerReference r:id="rId3" w:type="default"/>
      <w:pgSz w:w="11907" w:h="16840"/>
      <w:pgMar w:top="2098" w:right="1701" w:bottom="1985" w:left="181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Arial Unicode MS"/>
    <w:panose1 w:val="03000509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132487"/>
      <w:docPartObj>
        <w:docPartGallery w:val="autotext"/>
      </w:docPartObj>
    </w:sdtPr>
    <w:sdtContent>
      <w:p>
        <w:pPr>
          <w:pStyle w:val="3"/>
          <w:jc w:val="center"/>
        </w:pPr>
      </w:p>
      <w:p>
        <w:pPr>
          <w:pStyle w:val="3"/>
          <w:jc w:val="cente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 PAGE   \* MERGEFORMAT </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16</w:t>
        </w:r>
        <w:r>
          <w:rPr>
            <w:rFonts w:ascii="Times New Roman" w:hAnsi="Times New Roman" w:cs="Times New Roman"/>
            <w:sz w:val="21"/>
            <w:szCs w:val="21"/>
          </w:rPr>
          <w:fldChar w:fldCharType="end"/>
        </w:r>
      </w:p>
    </w:sdtContent>
  </w:sdt>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B26A99"/>
    <w:multiLevelType w:val="singleLevel"/>
    <w:tmpl w:val="CBB26A99"/>
    <w:lvl w:ilvl="0" w:tentative="0">
      <w:start w:val="3"/>
      <w:numFmt w:val="chineseCounting"/>
      <w:suff w:val="nothing"/>
      <w:lvlText w:val="%1、"/>
      <w:lvlJc w:val="left"/>
      <w:pPr>
        <w:ind w:left="48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2"/>
  </w:compat>
  <w:rsids>
    <w:rsidRoot w:val="009A41FA"/>
    <w:rsid w:val="000478A4"/>
    <w:rsid w:val="00065022"/>
    <w:rsid w:val="00115962"/>
    <w:rsid w:val="00221A09"/>
    <w:rsid w:val="0030438F"/>
    <w:rsid w:val="00316F52"/>
    <w:rsid w:val="00317DE3"/>
    <w:rsid w:val="00323DC8"/>
    <w:rsid w:val="003269CF"/>
    <w:rsid w:val="003463D8"/>
    <w:rsid w:val="00420E29"/>
    <w:rsid w:val="0063459A"/>
    <w:rsid w:val="006B3A67"/>
    <w:rsid w:val="006F08AE"/>
    <w:rsid w:val="007813B9"/>
    <w:rsid w:val="0087676C"/>
    <w:rsid w:val="009A41FA"/>
    <w:rsid w:val="009D65BE"/>
    <w:rsid w:val="00B61C9F"/>
    <w:rsid w:val="00C947A8"/>
    <w:rsid w:val="00D33E16"/>
    <w:rsid w:val="00D73116"/>
    <w:rsid w:val="00E07898"/>
    <w:rsid w:val="00F364CA"/>
    <w:rsid w:val="023E1681"/>
    <w:rsid w:val="09FE40DB"/>
    <w:rsid w:val="0AB64167"/>
    <w:rsid w:val="106923D5"/>
    <w:rsid w:val="166F060B"/>
    <w:rsid w:val="167C096F"/>
    <w:rsid w:val="190D17F2"/>
    <w:rsid w:val="1A3040E6"/>
    <w:rsid w:val="25556B6F"/>
    <w:rsid w:val="2D011743"/>
    <w:rsid w:val="2FEE665A"/>
    <w:rsid w:val="39D1546D"/>
    <w:rsid w:val="423C5CB1"/>
    <w:rsid w:val="45E35B56"/>
    <w:rsid w:val="489F32A6"/>
    <w:rsid w:val="49103390"/>
    <w:rsid w:val="4E781FAF"/>
    <w:rsid w:val="4F624471"/>
    <w:rsid w:val="56695181"/>
    <w:rsid w:val="584E1FBB"/>
    <w:rsid w:val="643F5A18"/>
    <w:rsid w:val="65B3525D"/>
    <w:rsid w:val="66564A39"/>
    <w:rsid w:val="66CB439B"/>
    <w:rsid w:val="68E819D9"/>
    <w:rsid w:val="6B626DDE"/>
    <w:rsid w:val="6C1B4F86"/>
    <w:rsid w:val="6CC30494"/>
    <w:rsid w:val="6D0C27C4"/>
    <w:rsid w:val="6EE0486A"/>
    <w:rsid w:val="7084660D"/>
    <w:rsid w:val="73C0444D"/>
    <w:rsid w:val="7A4343E2"/>
    <w:rsid w:val="7C960515"/>
    <w:rsid w:val="7E0844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1"/>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pPr>
    <w:rPr>
      <w:sz w:val="18"/>
      <w:szCs w:val="18"/>
    </w:rPr>
  </w:style>
  <w:style w:type="paragraph" w:styleId="4">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spacing w:before="100" w:beforeAutospacing="1" w:after="100" w:afterAutospacing="1"/>
    </w:pPr>
  </w:style>
  <w:style w:type="character" w:styleId="8">
    <w:name w:val="Strong"/>
    <w:basedOn w:val="7"/>
    <w:qFormat/>
    <w:uiPriority w:val="22"/>
    <w:rPr>
      <w:b/>
      <w:bCs/>
    </w:rPr>
  </w:style>
  <w:style w:type="character" w:customStyle="1" w:styleId="9">
    <w:name w:val="页眉 Char"/>
    <w:basedOn w:val="7"/>
    <w:link w:val="4"/>
    <w:semiHidden/>
    <w:qFormat/>
    <w:locked/>
    <w:uiPriority w:val="99"/>
    <w:rPr>
      <w:rFonts w:hint="eastAsia" w:ascii="宋体" w:hAnsi="宋体" w:eastAsia="宋体" w:cs="宋体"/>
      <w:sz w:val="18"/>
      <w:szCs w:val="18"/>
    </w:rPr>
  </w:style>
  <w:style w:type="character" w:customStyle="1" w:styleId="10">
    <w:name w:val="页脚 Char"/>
    <w:basedOn w:val="7"/>
    <w:link w:val="3"/>
    <w:qFormat/>
    <w:locked/>
    <w:uiPriority w:val="99"/>
    <w:rPr>
      <w:rFonts w:hint="eastAsia" w:ascii="宋体" w:hAnsi="宋体" w:eastAsia="宋体" w:cs="宋体"/>
      <w:sz w:val="18"/>
      <w:szCs w:val="18"/>
    </w:rPr>
  </w:style>
  <w:style w:type="character" w:customStyle="1" w:styleId="11">
    <w:name w:val="文档结构图 Char"/>
    <w:basedOn w:val="7"/>
    <w:link w:val="2"/>
    <w:semiHidden/>
    <w:qFormat/>
    <w:locked/>
    <w:uiPriority w:val="99"/>
    <w:rPr>
      <w:rFonts w:hint="eastAsia" w:ascii="宋体" w:hAnsi="宋体" w:eastAsia="宋体" w:cs="宋体"/>
      <w:sz w:val="18"/>
      <w:szCs w:val="18"/>
    </w:rPr>
  </w:style>
  <w:style w:type="paragraph" w:styleId="12">
    <w:name w:val="List Paragraph"/>
    <w:basedOn w:val="1"/>
    <w:qFormat/>
    <w:uiPriority w:val="34"/>
    <w:pPr>
      <w:widowControl w:val="0"/>
      <w:ind w:firstLine="420" w:firstLineChars="200"/>
      <w:jc w:val="both"/>
    </w:pPr>
    <w:rPr>
      <w:rFonts w:ascii="Calibri" w:hAnsi="Calibri" w:cs="Times New Roman"/>
      <w:kern w:val="2"/>
      <w:sz w:val="21"/>
      <w:szCs w:val="22"/>
    </w:rPr>
  </w:style>
  <w:style w:type="paragraph" w:customStyle="1" w:styleId="13">
    <w:name w:val="msonormal"/>
    <w:basedOn w:val="1"/>
    <w:semiHidden/>
    <w:qFormat/>
    <w:uiPriority w:val="99"/>
    <w:pPr>
      <w:spacing w:before="100" w:beforeAutospacing="1" w:after="100" w:afterAutospacing="1"/>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A99550-B257-4546-AB00-96699E81D5B1}">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20</Pages>
  <Words>1492</Words>
  <Characters>8509</Characters>
  <Lines>70</Lines>
  <Paragraphs>19</Paragraphs>
  <TotalTime>17</TotalTime>
  <ScaleCrop>false</ScaleCrop>
  <LinksUpToDate>false</LinksUpToDate>
  <CharactersWithSpaces>9982</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2021-09-08T03:29:00Z</dcterms:created>
  <dc:creator>Administrator</dc:creator>
  <cp:lastModifiedBy>Administrator</cp:lastModifiedBy>
  <cp:lastPrinted>2021-11-17T08:55:00Z</cp:lastPrinted>
  <dcterms:modified xsi:type="dcterms:W3CDTF">2021-11-23T03:23:44Z</dcterms:modified>
  <dc:title>公开报告模板</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29B5EC0F9B4A40ED8886FD984588F1E9</vt:lpwstr>
  </property>
</Properties>
</file>